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5011"/>
        <w:gridCol w:w="4615"/>
      </w:tblGrid>
      <w:tr w:rsidR="0069440A" w:rsidRPr="00202C1F" w14:paraId="37AD14E3" w14:textId="77777777" w:rsidTr="008816DB">
        <w:trPr>
          <w:trHeight w:val="733"/>
        </w:trPr>
        <w:tc>
          <w:tcPr>
            <w:tcW w:w="2603" w:type="pct"/>
            <w:hideMark/>
          </w:tcPr>
          <w:p w14:paraId="333862CF" w14:textId="77777777" w:rsidR="0069440A" w:rsidRPr="00202C1F" w:rsidRDefault="0069440A" w:rsidP="00A0760F">
            <w:pPr>
              <w:spacing w:before="120" w:after="120"/>
              <w:jc w:val="both"/>
              <w:rPr>
                <w:rFonts w:ascii="Arial Narrow" w:hAnsi="Arial Narrow"/>
                <w:b/>
              </w:rPr>
            </w:pPr>
            <w:r w:rsidRPr="00202C1F">
              <w:rPr>
                <w:rFonts w:ascii="Arial Narrow" w:hAnsi="Arial Narrow"/>
                <w:b/>
                <w:noProof/>
                <w:color w:val="218649"/>
              </w:rPr>
              <mc:AlternateContent>
                <mc:Choice Requires="wps">
                  <w:drawing>
                    <wp:anchor distT="4294967295" distB="4294967295" distL="114300" distR="114300" simplePos="0" relativeHeight="251659264" behindDoc="0" locked="0" layoutInCell="1" allowOverlap="1" wp14:anchorId="644A0E33" wp14:editId="080FAE25">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93BD5"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202C1F">
              <w:rPr>
                <w:rFonts w:ascii="Arial Narrow" w:hAnsi="Arial Narrow"/>
                <w:b/>
                <w:noProof/>
                <w:color w:val="218649"/>
              </w:rPr>
              <w:drawing>
                <wp:anchor distT="0" distB="0" distL="114300" distR="114300" simplePos="0" relativeHeight="251656192" behindDoc="0" locked="0" layoutInCell="1" allowOverlap="1" wp14:anchorId="5C987F55" wp14:editId="6159BB11">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153363B0" w14:textId="77777777" w:rsidR="0069440A" w:rsidRPr="00202C1F" w:rsidRDefault="0069440A" w:rsidP="00A0760F">
            <w:pPr>
              <w:spacing w:before="120" w:after="120"/>
              <w:jc w:val="both"/>
              <w:rPr>
                <w:rFonts w:ascii="Arial Narrow" w:hAnsi="Arial Narrow"/>
                <w:b/>
              </w:rPr>
            </w:pPr>
          </w:p>
          <w:p w14:paraId="6F840B29" w14:textId="77777777" w:rsidR="0069440A" w:rsidRPr="00202C1F" w:rsidRDefault="0069440A" w:rsidP="00A0760F">
            <w:pPr>
              <w:spacing w:before="120" w:after="120"/>
              <w:jc w:val="both"/>
              <w:rPr>
                <w:rFonts w:ascii="Arial Narrow" w:hAnsi="Arial Narrow"/>
                <w:b/>
              </w:rPr>
            </w:pPr>
            <w:r w:rsidRPr="00202C1F">
              <w:rPr>
                <w:rFonts w:ascii="Arial Narrow" w:hAnsi="Arial Narrow"/>
                <w:b/>
              </w:rPr>
              <w:t xml:space="preserve">       </w:t>
            </w:r>
          </w:p>
        </w:tc>
      </w:tr>
    </w:tbl>
    <w:p w14:paraId="5A3D61B2" w14:textId="765076F6" w:rsidR="0069440A" w:rsidRPr="003E6017" w:rsidRDefault="002423BE" w:rsidP="00A0760F">
      <w:pPr>
        <w:spacing w:before="120" w:after="120"/>
        <w:jc w:val="both"/>
        <w:rPr>
          <w:rFonts w:ascii="Arial Narrow" w:hAnsi="Arial Narrow"/>
          <w:b/>
          <w:color w:val="218649"/>
          <w:sz w:val="28"/>
          <w:szCs w:val="28"/>
        </w:rPr>
      </w:pPr>
      <w:r w:rsidRPr="003E6017">
        <w:rPr>
          <w:rFonts w:ascii="Arial Narrow" w:hAnsi="Arial Narrow"/>
          <w:b/>
          <w:color w:val="218649"/>
          <w:sz w:val="28"/>
          <w:szCs w:val="28"/>
        </w:rPr>
        <w:t xml:space="preserve">Huddle: </w:t>
      </w:r>
      <w:r w:rsidR="0067293C" w:rsidRPr="003E6017">
        <w:rPr>
          <w:rFonts w:ascii="Arial Narrow" w:hAnsi="Arial Narrow"/>
          <w:b/>
          <w:color w:val="218649"/>
          <w:sz w:val="28"/>
          <w:szCs w:val="28"/>
        </w:rPr>
        <w:t xml:space="preserve">COVID-19 Banking </w:t>
      </w:r>
      <w:r w:rsidRPr="003E6017">
        <w:rPr>
          <w:rFonts w:ascii="Arial Narrow" w:hAnsi="Arial Narrow"/>
          <w:b/>
          <w:color w:val="218649"/>
          <w:sz w:val="28"/>
          <w:szCs w:val="28"/>
        </w:rPr>
        <w:t>Editio</w:t>
      </w:r>
      <w:r w:rsidR="00CD1443" w:rsidRPr="003E6017">
        <w:rPr>
          <w:rFonts w:ascii="Arial Narrow" w:hAnsi="Arial Narrow"/>
          <w:b/>
          <w:color w:val="218649"/>
          <w:sz w:val="28"/>
          <w:szCs w:val="28"/>
        </w:rPr>
        <w:t>n C/A Top 10 FAQs</w:t>
      </w:r>
      <w:r w:rsidR="00CD1443" w:rsidRPr="003E6017">
        <w:rPr>
          <w:rFonts w:ascii="Arial Narrow" w:hAnsi="Arial Narrow"/>
          <w:b/>
          <w:color w:val="218649"/>
          <w:sz w:val="28"/>
          <w:szCs w:val="28"/>
        </w:rPr>
        <w:tab/>
      </w:r>
      <w:r w:rsidR="00CD1443" w:rsidRPr="003E6017">
        <w:rPr>
          <w:rFonts w:ascii="Arial Narrow" w:hAnsi="Arial Narrow"/>
          <w:b/>
          <w:color w:val="218649"/>
          <w:sz w:val="28"/>
          <w:szCs w:val="28"/>
        </w:rPr>
        <w:tab/>
      </w:r>
      <w:r w:rsidR="00CD1443" w:rsidRPr="003E6017">
        <w:rPr>
          <w:rFonts w:ascii="Arial Narrow" w:hAnsi="Arial Narrow"/>
          <w:b/>
          <w:color w:val="218649"/>
          <w:sz w:val="28"/>
          <w:szCs w:val="28"/>
        </w:rPr>
        <w:tab/>
      </w:r>
      <w:r w:rsidR="0067293C" w:rsidRPr="003E6017">
        <w:rPr>
          <w:rFonts w:ascii="Arial Narrow" w:hAnsi="Arial Narrow"/>
          <w:b/>
          <w:color w:val="218649"/>
          <w:sz w:val="28"/>
          <w:szCs w:val="28"/>
        </w:rPr>
        <w:t xml:space="preserve">        </w:t>
      </w:r>
      <w:r w:rsidR="00CD1443" w:rsidRPr="003E6017">
        <w:rPr>
          <w:rFonts w:ascii="Arial Narrow" w:hAnsi="Arial Narrow"/>
          <w:b/>
          <w:color w:val="218649"/>
          <w:sz w:val="28"/>
          <w:szCs w:val="28"/>
        </w:rPr>
        <w:t xml:space="preserve">April </w:t>
      </w:r>
      <w:r w:rsidR="00816065" w:rsidRPr="003E6017">
        <w:rPr>
          <w:rFonts w:ascii="Arial Narrow" w:hAnsi="Arial Narrow"/>
          <w:b/>
          <w:color w:val="218649"/>
          <w:sz w:val="28"/>
          <w:szCs w:val="28"/>
        </w:rPr>
        <w:t>22</w:t>
      </w:r>
      <w:r w:rsidR="00CD1443" w:rsidRPr="003E6017">
        <w:rPr>
          <w:rFonts w:ascii="Arial Narrow" w:hAnsi="Arial Narrow"/>
          <w:b/>
          <w:color w:val="218649"/>
          <w:sz w:val="28"/>
          <w:szCs w:val="28"/>
        </w:rPr>
        <w:t>, 2020</w:t>
      </w:r>
    </w:p>
    <w:p w14:paraId="171793A7" w14:textId="77777777" w:rsidR="002423BE" w:rsidRPr="00202C1F" w:rsidRDefault="002423BE" w:rsidP="00A0760F">
      <w:pPr>
        <w:spacing w:before="120" w:after="120"/>
        <w:jc w:val="both"/>
        <w:rPr>
          <w:rFonts w:ascii="Arial Narrow" w:hAnsi="Arial Narrow"/>
          <w:b/>
          <w:color w:val="218649"/>
        </w:rPr>
      </w:pPr>
    </w:p>
    <w:p w14:paraId="3DBE8340" w14:textId="39EDA50D" w:rsidR="00816065" w:rsidRPr="00202C1F" w:rsidRDefault="00816065" w:rsidP="00A0760F">
      <w:pPr>
        <w:numPr>
          <w:ilvl w:val="0"/>
          <w:numId w:val="29"/>
        </w:numPr>
        <w:spacing w:before="120" w:after="120"/>
        <w:jc w:val="both"/>
        <w:rPr>
          <w:rFonts w:ascii="Arial Narrow" w:hAnsi="Arial Narrow" w:cs="Arial"/>
          <w:b/>
          <w:bCs/>
          <w:color w:val="000000"/>
        </w:rPr>
      </w:pPr>
      <w:r w:rsidRPr="00202C1F">
        <w:rPr>
          <w:rFonts w:ascii="Arial Narrow" w:hAnsi="Arial Narrow" w:cs="Arial"/>
          <w:b/>
          <w:bCs/>
          <w:color w:val="000000"/>
        </w:rPr>
        <w:t>Is CIP/Beneficial Ownership required for related accounts opened with a PPP loan?</w:t>
      </w:r>
    </w:p>
    <w:p w14:paraId="44ED44F9" w14:textId="3F4C716C" w:rsidR="00816065" w:rsidRPr="00202C1F" w:rsidRDefault="00816065" w:rsidP="00A0760F">
      <w:pPr>
        <w:spacing w:before="120" w:after="120"/>
        <w:jc w:val="both"/>
        <w:rPr>
          <w:rFonts w:ascii="Arial Narrow" w:hAnsi="Arial Narrow" w:cs="Segoe UI"/>
          <w:color w:val="2F3941"/>
          <w:shd w:val="clear" w:color="auto" w:fill="FFFFFF"/>
        </w:rPr>
      </w:pPr>
      <w:r w:rsidRPr="00202C1F">
        <w:rPr>
          <w:rFonts w:ascii="Arial Narrow" w:hAnsi="Arial Narrow" w:cs="Segoe UI"/>
          <w:color w:val="2F3941"/>
          <w:shd w:val="clear" w:color="auto" w:fill="FFFFFF"/>
        </w:rPr>
        <w:t>Unfortunately, there's not an explicit exception for pandemic or other national emergencies when it comes to the banks</w:t>
      </w:r>
      <w:r w:rsidR="007639F6" w:rsidRPr="00202C1F">
        <w:rPr>
          <w:rFonts w:ascii="Arial Narrow" w:hAnsi="Arial Narrow" w:cs="Segoe UI"/>
          <w:color w:val="2F3941"/>
          <w:shd w:val="clear" w:color="auto" w:fill="FFFFFF"/>
        </w:rPr>
        <w:t>’</w:t>
      </w:r>
      <w:r w:rsidRPr="00202C1F">
        <w:rPr>
          <w:rFonts w:ascii="Arial Narrow" w:hAnsi="Arial Narrow" w:cs="Segoe UI"/>
          <w:color w:val="2F3941"/>
          <w:shd w:val="clear" w:color="auto" w:fill="FFFFFF"/>
        </w:rPr>
        <w:t xml:space="preserve"> CIP or beneficial ownership requirement</w:t>
      </w:r>
      <w:r w:rsidR="00197FF2" w:rsidRPr="00202C1F">
        <w:rPr>
          <w:rFonts w:ascii="Arial Narrow" w:hAnsi="Arial Narrow" w:cs="Segoe UI"/>
          <w:color w:val="2F3941"/>
          <w:shd w:val="clear" w:color="auto" w:fill="FFFFFF"/>
        </w:rPr>
        <w:t>s</w:t>
      </w:r>
      <w:r w:rsidRPr="00202C1F">
        <w:rPr>
          <w:rFonts w:ascii="Arial Narrow" w:hAnsi="Arial Narrow" w:cs="Segoe UI"/>
          <w:color w:val="2F3941"/>
          <w:shd w:val="clear" w:color="auto" w:fill="FFFFFF"/>
        </w:rPr>
        <w:t xml:space="preserve">. The beneficial ownership </w:t>
      </w:r>
      <w:r w:rsidR="00197FF2" w:rsidRPr="00202C1F">
        <w:rPr>
          <w:rFonts w:ascii="Arial Narrow" w:hAnsi="Arial Narrow" w:cs="Segoe UI"/>
          <w:color w:val="2F3941"/>
          <w:shd w:val="clear" w:color="auto" w:fill="FFFFFF"/>
        </w:rPr>
        <w:t>concession</w:t>
      </w:r>
      <w:r w:rsidRPr="00202C1F">
        <w:rPr>
          <w:rFonts w:ascii="Arial Narrow" w:hAnsi="Arial Narrow" w:cs="Segoe UI"/>
          <w:color w:val="2F3941"/>
          <w:shd w:val="clear" w:color="auto" w:fill="FFFFFF"/>
        </w:rPr>
        <w:t xml:space="preserve"> for PPP are only in relation to the PPP loan application</w:t>
      </w:r>
      <w:r w:rsidR="007639F6" w:rsidRPr="00202C1F">
        <w:rPr>
          <w:rFonts w:ascii="Arial Narrow" w:hAnsi="Arial Narrow" w:cs="Segoe UI"/>
          <w:color w:val="2F3941"/>
          <w:shd w:val="clear" w:color="auto" w:fill="FFFFFF"/>
        </w:rPr>
        <w:t>s and the PPP loan itself,</w:t>
      </w:r>
      <w:r w:rsidRPr="00202C1F">
        <w:rPr>
          <w:rFonts w:ascii="Arial Narrow" w:hAnsi="Arial Narrow" w:cs="Segoe UI"/>
          <w:color w:val="2F3941"/>
          <w:shd w:val="clear" w:color="auto" w:fill="FFFFFF"/>
        </w:rPr>
        <w:t xml:space="preserve"> and </w:t>
      </w:r>
      <w:r w:rsidR="007639F6" w:rsidRPr="00202C1F">
        <w:rPr>
          <w:rFonts w:ascii="Arial Narrow" w:hAnsi="Arial Narrow" w:cs="Segoe UI"/>
          <w:color w:val="2F3941"/>
          <w:shd w:val="clear" w:color="auto" w:fill="FFFFFF"/>
        </w:rPr>
        <w:t xml:space="preserve">there is no indication that it </w:t>
      </w:r>
      <w:r w:rsidRPr="00202C1F">
        <w:rPr>
          <w:rFonts w:ascii="Arial Narrow" w:hAnsi="Arial Narrow" w:cs="Segoe UI"/>
          <w:color w:val="2F3941"/>
          <w:shd w:val="clear" w:color="auto" w:fill="FFFFFF"/>
        </w:rPr>
        <w:t>extend</w:t>
      </w:r>
      <w:r w:rsidR="007639F6" w:rsidRPr="00202C1F">
        <w:rPr>
          <w:rFonts w:ascii="Arial Narrow" w:hAnsi="Arial Narrow" w:cs="Segoe UI"/>
          <w:color w:val="2F3941"/>
          <w:shd w:val="clear" w:color="auto" w:fill="FFFFFF"/>
        </w:rPr>
        <w:t>s b</w:t>
      </w:r>
      <w:r w:rsidRPr="00202C1F">
        <w:rPr>
          <w:rFonts w:ascii="Arial Narrow" w:hAnsi="Arial Narrow" w:cs="Segoe UI"/>
          <w:color w:val="2F3941"/>
          <w:shd w:val="clear" w:color="auto" w:fill="FFFFFF"/>
        </w:rPr>
        <w:t xml:space="preserve">eyond that to separate accounts not applicable to </w:t>
      </w:r>
      <w:r w:rsidR="00197FF2" w:rsidRPr="00202C1F">
        <w:rPr>
          <w:rFonts w:ascii="Arial Narrow" w:hAnsi="Arial Narrow" w:cs="Segoe UI"/>
          <w:color w:val="2F3941"/>
          <w:shd w:val="clear" w:color="auto" w:fill="FFFFFF"/>
        </w:rPr>
        <w:t>approving and funding a</w:t>
      </w:r>
      <w:r w:rsidRPr="00202C1F">
        <w:rPr>
          <w:rFonts w:ascii="Arial Narrow" w:hAnsi="Arial Narrow" w:cs="Segoe UI"/>
          <w:color w:val="2F3941"/>
          <w:shd w:val="clear" w:color="auto" w:fill="FFFFFF"/>
        </w:rPr>
        <w:t xml:space="preserve"> PPP loan. </w:t>
      </w:r>
    </w:p>
    <w:p w14:paraId="617F44DE" w14:textId="1C9DF208" w:rsidR="007639F6" w:rsidRPr="00202C1F" w:rsidRDefault="007639F6" w:rsidP="00A0760F">
      <w:pPr>
        <w:pStyle w:val="ListParagraph"/>
        <w:numPr>
          <w:ilvl w:val="0"/>
          <w:numId w:val="31"/>
        </w:numPr>
        <w:spacing w:before="120" w:after="120"/>
        <w:jc w:val="both"/>
        <w:rPr>
          <w:rFonts w:ascii="Arial Narrow" w:hAnsi="Arial Narrow"/>
        </w:rPr>
      </w:pPr>
      <w:r w:rsidRPr="00202C1F">
        <w:rPr>
          <w:rFonts w:ascii="Arial Narrow" w:hAnsi="Arial Narrow"/>
        </w:rPr>
        <w:t xml:space="preserve">Question: Are PPP loans for existing customers considered new accounts for FinCEN Rule CDD purposes? Are lenders required to collect, certify, or verify beneficial ownership information in accordance with the rule requirements for existing customers? </w:t>
      </w:r>
    </w:p>
    <w:p w14:paraId="192E14D7" w14:textId="4A52CDCF" w:rsidR="007639F6" w:rsidRPr="00202C1F" w:rsidRDefault="007639F6" w:rsidP="00A0760F">
      <w:pPr>
        <w:spacing w:before="120" w:after="120"/>
        <w:ind w:left="720"/>
        <w:jc w:val="both"/>
        <w:rPr>
          <w:rFonts w:ascii="Arial Narrow" w:hAnsi="Arial Narrow"/>
        </w:rPr>
      </w:pPr>
      <w:r w:rsidRPr="00202C1F">
        <w:rPr>
          <w:rFonts w:ascii="Arial Narrow" w:hAnsi="Arial Narrow"/>
        </w:rPr>
        <w:t>Answer: If the PPP loan is being made to an existing customer and the necessary information was previously verified, you do not need to re-verify the information. Furthermore, if federally insured depository institutions and federally insured credit unions eligible to participate in the PPP program have not yet collected beneficial ownership information on existing customers, such institutions do not need to collect and verify beneficial ownership information for those customers applying for new PPP loans, unless otherwise indicated by the lender’s risk-based approach to BSA compliance.</w:t>
      </w:r>
    </w:p>
    <w:p w14:paraId="464B6086" w14:textId="05E40F5D" w:rsidR="007639F6" w:rsidRPr="00202C1F" w:rsidRDefault="007639F6" w:rsidP="00A0760F">
      <w:pPr>
        <w:spacing w:before="120" w:after="120"/>
        <w:ind w:left="720"/>
        <w:jc w:val="both"/>
        <w:rPr>
          <w:rFonts w:ascii="Arial Narrow" w:hAnsi="Arial Narrow" w:cs="Segoe UI"/>
          <w:color w:val="2F3941"/>
          <w:shd w:val="clear" w:color="auto" w:fill="FFFFFF"/>
        </w:rPr>
      </w:pPr>
      <w:r w:rsidRPr="00202C1F">
        <w:rPr>
          <w:rFonts w:ascii="Arial Narrow" w:hAnsi="Arial Narrow"/>
        </w:rPr>
        <w:t>This FAQ is the same as FAQ 18 of the SBA FAQs (https://home.treasury.gov/policy-issues/cares/assistance-for-small-businesses). [April 6, 2020]</w:t>
      </w:r>
    </w:p>
    <w:p w14:paraId="2C37B7CE" w14:textId="77777777" w:rsidR="007639F6" w:rsidRPr="00202C1F" w:rsidRDefault="007639F6" w:rsidP="00A0760F">
      <w:pPr>
        <w:pStyle w:val="ListParagraph"/>
        <w:numPr>
          <w:ilvl w:val="0"/>
          <w:numId w:val="31"/>
        </w:numPr>
        <w:spacing w:before="120" w:after="120"/>
        <w:jc w:val="both"/>
        <w:rPr>
          <w:rFonts w:ascii="Arial Narrow" w:hAnsi="Arial Narrow" w:cs="Segoe UI"/>
          <w:color w:val="2F3941"/>
          <w:shd w:val="clear" w:color="auto" w:fill="FFFFFF"/>
        </w:rPr>
      </w:pPr>
      <w:r w:rsidRPr="00202C1F">
        <w:rPr>
          <w:rFonts w:ascii="Arial Narrow" w:hAnsi="Arial Narrow"/>
        </w:rPr>
        <w:t xml:space="preserve">Question: Does the information lenders are required to collect from PPP applicants regarding every owner who has a 20% or greater ownership stake in the applicant business (i.e., owner name, title, ownership %, TIN, and address) satisfy a lender’s obligation to collect beneficial ownership information (which has a 25% ownership threshold) under the Bank Secrecy Act? </w:t>
      </w:r>
    </w:p>
    <w:p w14:paraId="0ECDBD4E" w14:textId="2A482171" w:rsidR="007639F6" w:rsidRPr="00202C1F" w:rsidRDefault="007639F6" w:rsidP="00A0760F">
      <w:pPr>
        <w:spacing w:before="120" w:after="120"/>
        <w:ind w:left="720"/>
        <w:jc w:val="both"/>
        <w:rPr>
          <w:rFonts w:ascii="Arial Narrow" w:hAnsi="Arial Narrow" w:cs="Segoe UI"/>
          <w:color w:val="2F3941"/>
          <w:shd w:val="clear" w:color="auto" w:fill="FFFFFF"/>
        </w:rPr>
      </w:pPr>
      <w:r w:rsidRPr="00202C1F">
        <w:rPr>
          <w:rFonts w:ascii="Arial Narrow" w:hAnsi="Arial Narrow"/>
        </w:rPr>
        <w:t xml:space="preserve">Answer: For lenders with existing customers: With respect to collecting beneficial ownership information for owners holding a 20% or greater ownership interest, if the PPP loan is being made to an existing customer and the lender previously verified the necessary information, the lender does not need to re-verify the information. Furthermore, if federally insured depository institutions and federally insured credit unions eligible to participate in the PPP program have not yet collected such beneficial ownership information on existing customers, such institutions do not need to collect and verify beneficial ownership information for those customers applying for new PPP loans, unless otherwise indicated by the lender’s risk-based approach to Bank Secrecy Act (BSA) compliance. For lenders with new customers: For new customers, the lender’s collection of the following information from all natural persons with a 20% or greater ownership stake in the applicant business will be deemed to satisfy applicable BSA requirements and FinCEN regulations governing the collection of beneficial ownership information: owner name, title, ownership %, TIN, address, and date of birth. If any ownership interest of 20% or greater in the applicant business belongs to a business or other legal entity, lenders will need to collect appropriate beneficial ownership information for that entity. If you have questions about requirements related to beneficial ownership, go to </w:t>
      </w:r>
      <w:r w:rsidRPr="00202C1F">
        <w:rPr>
          <w:rFonts w:ascii="Arial Narrow" w:hAnsi="Arial Narrow"/>
        </w:rPr>
        <w:lastRenderedPageBreak/>
        <w:t xml:space="preserve">https://www.fincen.gov/resources/statutes-and-regulations/cdd-final-rule. Decisions regarding further verification of beneficial ownership information collected from new customers should be made pursuant to the lender’s risk-based approach to BSA compliance.4 4. </w:t>
      </w:r>
    </w:p>
    <w:p w14:paraId="465C7602" w14:textId="6D91CEAC" w:rsidR="007639F6" w:rsidRPr="00202C1F" w:rsidRDefault="007639F6" w:rsidP="00A0760F">
      <w:pPr>
        <w:pStyle w:val="ListParagraph"/>
        <w:spacing w:before="120" w:after="120"/>
        <w:ind w:left="1080"/>
        <w:jc w:val="both"/>
        <w:rPr>
          <w:rFonts w:ascii="Arial Narrow" w:hAnsi="Arial Narrow"/>
        </w:rPr>
      </w:pPr>
      <w:r w:rsidRPr="00202C1F">
        <w:rPr>
          <w:rFonts w:ascii="Arial Narrow" w:hAnsi="Arial Narrow"/>
        </w:rPr>
        <w:t>This FAQ is the same as FAQ 25 of the SBA FAQs (https://home.treasury.gov/policy-issues/cares/assistance-for-small-businesses). [April 13, 2020]</w:t>
      </w:r>
    </w:p>
    <w:p w14:paraId="0DB29EF0" w14:textId="1332B366" w:rsidR="007639F6" w:rsidRPr="00202C1F" w:rsidRDefault="007639F6" w:rsidP="00A0760F">
      <w:pPr>
        <w:spacing w:before="120" w:after="120"/>
        <w:jc w:val="right"/>
        <w:rPr>
          <w:rFonts w:ascii="Arial Narrow" w:hAnsi="Arial Narrow" w:cs="Segoe UI"/>
          <w:color w:val="2F3941"/>
          <w:shd w:val="clear" w:color="auto" w:fill="FFFFFF"/>
        </w:rPr>
      </w:pPr>
      <w:r w:rsidRPr="00202C1F">
        <w:rPr>
          <w:rFonts w:ascii="Arial Narrow" w:hAnsi="Arial Narrow" w:cs="Segoe UI"/>
          <w:color w:val="2F3941"/>
          <w:shd w:val="clear" w:color="auto" w:fill="FFFFFF"/>
        </w:rPr>
        <w:t xml:space="preserve">Resource: </w:t>
      </w:r>
      <w:hyperlink r:id="rId12" w:history="1">
        <w:r w:rsidRPr="00202C1F">
          <w:rPr>
            <w:rStyle w:val="Hyperlink"/>
            <w:rFonts w:ascii="Arial Narrow" w:hAnsi="Arial Narrow"/>
          </w:rPr>
          <w:t>https://www.fincen.gov/sites/default/files/2020-04/Paycheck_Protection_Program_FAQs.pdf</w:t>
        </w:r>
      </w:hyperlink>
    </w:p>
    <w:p w14:paraId="304F12F4" w14:textId="77777777" w:rsidR="00FB0141" w:rsidRPr="00202C1F" w:rsidRDefault="00FB0141" w:rsidP="00A0760F">
      <w:pPr>
        <w:spacing w:before="120" w:after="120"/>
        <w:jc w:val="both"/>
        <w:rPr>
          <w:rFonts w:ascii="Arial Narrow" w:hAnsi="Arial Narrow" w:cs="Segoe UI"/>
          <w:color w:val="2F3941"/>
          <w:shd w:val="clear" w:color="auto" w:fill="FFFFFF"/>
        </w:rPr>
      </w:pPr>
      <w:r w:rsidRPr="00202C1F">
        <w:rPr>
          <w:rFonts w:ascii="Arial Narrow" w:hAnsi="Arial Narrow" w:cs="Segoe UI"/>
          <w:color w:val="2F3941"/>
          <w:shd w:val="clear" w:color="auto" w:fill="FFFFFF"/>
        </w:rPr>
        <w:t>What C/A reads this new FAQ to say is that the SBA requirements (which are separate from beneficial ownership requirements) require listing "all owners of 20% or more of the equity of the Applicant": </w:t>
      </w:r>
      <w:hyperlink r:id="rId13" w:history="1">
        <w:r w:rsidRPr="00202C1F">
          <w:rPr>
            <w:rStyle w:val="Hyperlink"/>
            <w:rFonts w:ascii="Arial Narrow" w:hAnsi="Arial Narrow" w:cs="Segoe UI"/>
            <w:color w:val="1F73B7"/>
            <w:shd w:val="clear" w:color="auto" w:fill="FFFFFF"/>
          </w:rPr>
          <w:t>https://home.treasury.gov/system/files/136/PPP-Borrower-Application-Form-Fillable.pdf</w:t>
        </w:r>
      </w:hyperlink>
      <w:r w:rsidRPr="00202C1F">
        <w:rPr>
          <w:rFonts w:ascii="Arial Narrow" w:hAnsi="Arial Narrow" w:cs="Segoe UI"/>
          <w:color w:val="2F3941"/>
          <w:shd w:val="clear" w:color="auto" w:fill="FFFFFF"/>
        </w:rPr>
        <w:t xml:space="preserve">.  In other words, that collection would still be required specifically on PPP applications as set out in the link. Here is the concession for beneficial ownership: since banks have to collect already this </w:t>
      </w:r>
      <w:r w:rsidRPr="00202C1F">
        <w:rPr>
          <w:rFonts w:ascii="Arial Narrow" w:hAnsi="Arial Narrow" w:cs="Segoe UI"/>
          <w:i/>
          <w:iCs/>
          <w:color w:val="2F3941"/>
          <w:shd w:val="clear" w:color="auto" w:fill="FFFFFF"/>
        </w:rPr>
        <w:t>20%</w:t>
      </w:r>
      <w:r w:rsidRPr="00202C1F">
        <w:rPr>
          <w:rFonts w:ascii="Arial Narrow" w:hAnsi="Arial Narrow" w:cs="Segoe UI"/>
          <w:color w:val="2F3941"/>
          <w:shd w:val="clear" w:color="auto" w:fill="FFFFFF"/>
        </w:rPr>
        <w:t xml:space="preserve"> requirement on PPP loans, banks are now allowed to use this information for beneficial ownership as well. </w:t>
      </w:r>
    </w:p>
    <w:p w14:paraId="733F46FC" w14:textId="77777777" w:rsidR="00FB0141" w:rsidRPr="00202C1F" w:rsidRDefault="00FB0141" w:rsidP="00A0760F">
      <w:pPr>
        <w:spacing w:before="120" w:after="120"/>
        <w:jc w:val="both"/>
        <w:rPr>
          <w:rFonts w:ascii="Arial Narrow" w:hAnsi="Arial Narrow" w:cs="Segoe UI"/>
          <w:color w:val="2F3941"/>
          <w:shd w:val="clear" w:color="auto" w:fill="FFFFFF"/>
        </w:rPr>
      </w:pPr>
      <w:r w:rsidRPr="00202C1F">
        <w:rPr>
          <w:rFonts w:ascii="Arial Narrow" w:hAnsi="Arial Narrow" w:cs="Segoe UI"/>
          <w:color w:val="2F3941"/>
          <w:shd w:val="clear" w:color="auto" w:fill="FFFFFF"/>
        </w:rPr>
        <w:t>However, it is important to note that they are not saying this across the board.  You cannot apply a 20% threshold for all beneficial ownership outside of PPP loan application purposes. </w:t>
      </w:r>
    </w:p>
    <w:p w14:paraId="06CFAE8D" w14:textId="2155CA51" w:rsidR="00816065" w:rsidRPr="00202C1F" w:rsidRDefault="00816065" w:rsidP="00A0760F">
      <w:pPr>
        <w:spacing w:before="120" w:after="120"/>
        <w:jc w:val="both"/>
        <w:rPr>
          <w:rFonts w:ascii="Arial Narrow" w:hAnsi="Arial Narrow" w:cs="Segoe UI"/>
          <w:color w:val="2F3941"/>
        </w:rPr>
      </w:pPr>
      <w:r w:rsidRPr="00202C1F">
        <w:rPr>
          <w:rFonts w:ascii="Arial Narrow" w:hAnsi="Arial Narrow" w:cs="Segoe UI"/>
          <w:color w:val="2F3941"/>
          <w:shd w:val="clear" w:color="auto" w:fill="FFFFFF"/>
        </w:rPr>
        <w:t>Under the general guidance, the agencies emphasize having a reasonable, documented strategy to continue operations to the extent possible, and Compliance Alliance has consistently heard from regulators/insiders that keeping open the lines of communication with the bank's regulator is the best approach in these times.</w:t>
      </w:r>
    </w:p>
    <w:p w14:paraId="56C39156" w14:textId="77777777" w:rsidR="00816065" w:rsidRPr="00202C1F" w:rsidRDefault="00816065" w:rsidP="00A0760F">
      <w:pPr>
        <w:spacing w:before="120" w:after="120"/>
        <w:jc w:val="both"/>
        <w:rPr>
          <w:rFonts w:ascii="Arial Narrow" w:hAnsi="Arial Narrow" w:cs="Segoe UI"/>
          <w:color w:val="2F3941"/>
        </w:rPr>
      </w:pPr>
      <w:r w:rsidRPr="00202C1F">
        <w:rPr>
          <w:rFonts w:ascii="Arial Narrow" w:hAnsi="Arial Narrow" w:cs="Segoe UI"/>
          <w:color w:val="2F3941"/>
          <w:shd w:val="clear" w:color="auto" w:fill="FFFFFF"/>
        </w:rPr>
        <w:t xml:space="preserve">Compliance Alliance has put together a help sheet that includes links to the various guidance publications related to pandemics, but there's not a specific CIP exception. </w:t>
      </w:r>
      <w:hyperlink r:id="rId14" w:tgtFrame="_blank" w:history="1">
        <w:r w:rsidRPr="00202C1F">
          <w:rPr>
            <w:rStyle w:val="Hyperlink"/>
            <w:rFonts w:ascii="Arial Narrow" w:hAnsi="Arial Narrow" w:cs="Segoe UI"/>
            <w:color w:val="1F73B7"/>
            <w:shd w:val="clear" w:color="auto" w:fill="FFFFFF"/>
          </w:rPr>
          <w:t>https://compliancealliance.com/find-a-tool/tool/covid-19-help-sheet</w:t>
        </w:r>
      </w:hyperlink>
    </w:p>
    <w:p w14:paraId="6CE1BB9C" w14:textId="3318D228" w:rsidR="00816065" w:rsidRPr="00202C1F" w:rsidRDefault="00816065" w:rsidP="00A0760F">
      <w:pPr>
        <w:spacing w:before="120" w:after="120"/>
        <w:rPr>
          <w:rFonts w:ascii="Arial Narrow" w:hAnsi="Arial Narrow"/>
        </w:rPr>
      </w:pPr>
      <w:r w:rsidRPr="00202C1F">
        <w:rPr>
          <w:rFonts w:ascii="Arial Narrow" w:hAnsi="Arial Narrow" w:cs="Segoe UI"/>
          <w:color w:val="2F3941"/>
          <w:shd w:val="clear" w:color="auto" w:fill="FFFFFF"/>
        </w:rPr>
        <w:t>And in general, the CIP rules do allow for verifying the identity of the customer within a reasonable period of time after the account is opened.</w:t>
      </w:r>
      <w:r w:rsidRPr="00202C1F">
        <w:rPr>
          <w:rFonts w:ascii="Arial Narrow" w:hAnsi="Arial Narrow" w:cs="Segoe UI"/>
          <w:color w:val="2F3941"/>
        </w:rPr>
        <w:t xml:space="preserve">  See generally: </w:t>
      </w:r>
      <w:hyperlink r:id="rId15" w:history="1">
        <w:r w:rsidRPr="00202C1F">
          <w:rPr>
            <w:rStyle w:val="Hyperlink"/>
            <w:rFonts w:ascii="Arial Narrow" w:hAnsi="Arial Narrow" w:cs="Segoe UI"/>
            <w:shd w:val="clear" w:color="auto" w:fill="FFFFFF"/>
          </w:rPr>
          <w:t>https://bsaaml.ffiec.gov/manual/RegulatoryRequirements/01</w:t>
        </w:r>
      </w:hyperlink>
      <w:r w:rsidRPr="00202C1F">
        <w:rPr>
          <w:rFonts w:ascii="Arial Narrow" w:hAnsi="Arial Narrow" w:cs="Segoe UI"/>
          <w:color w:val="2F3941"/>
        </w:rPr>
        <w:t xml:space="preserve">. </w:t>
      </w:r>
      <w:r w:rsidRPr="00202C1F">
        <w:rPr>
          <w:rFonts w:ascii="Arial Narrow" w:hAnsi="Arial Narrow" w:cs="Segoe UI"/>
          <w:color w:val="2F3941"/>
          <w:shd w:val="clear" w:color="auto" w:fill="FFFFFF"/>
        </w:rPr>
        <w:t>So that might be incorporated into the bank's pandemic plan in this area.</w:t>
      </w:r>
    </w:p>
    <w:p w14:paraId="50BE1653" w14:textId="3B46A4AA" w:rsidR="00816065" w:rsidRPr="00202C1F" w:rsidRDefault="00816065" w:rsidP="00A0760F">
      <w:pPr>
        <w:numPr>
          <w:ilvl w:val="0"/>
          <w:numId w:val="29"/>
        </w:numPr>
        <w:spacing w:before="120" w:after="120"/>
        <w:jc w:val="both"/>
        <w:rPr>
          <w:rFonts w:ascii="Arial Narrow" w:hAnsi="Arial Narrow" w:cs="Arial"/>
          <w:b/>
          <w:bCs/>
          <w:color w:val="000000"/>
        </w:rPr>
      </w:pPr>
      <w:r w:rsidRPr="00202C1F">
        <w:rPr>
          <w:rFonts w:ascii="Arial Narrow" w:hAnsi="Arial Narrow" w:cs="Arial"/>
          <w:b/>
          <w:bCs/>
          <w:color w:val="000000"/>
        </w:rPr>
        <w:t>How are banks handling adverse action notices for PPP loans at this time?</w:t>
      </w:r>
    </w:p>
    <w:p w14:paraId="46C20C3B" w14:textId="77777777" w:rsidR="00FB0141" w:rsidRPr="00202C1F" w:rsidRDefault="00FB0141" w:rsidP="00A0760F">
      <w:pPr>
        <w:spacing w:before="120" w:after="120"/>
        <w:jc w:val="both"/>
        <w:rPr>
          <w:rFonts w:ascii="Arial Narrow" w:hAnsi="Arial Narrow" w:cs="Segoe UI"/>
          <w:color w:val="2F3941"/>
          <w:shd w:val="clear" w:color="auto" w:fill="FFFFFF"/>
        </w:rPr>
      </w:pPr>
      <w:r w:rsidRPr="00202C1F">
        <w:rPr>
          <w:rFonts w:ascii="Arial Narrow" w:hAnsi="Arial Narrow" w:cs="Arial"/>
          <w:color w:val="000000"/>
        </w:rPr>
        <w:t xml:space="preserve">The CARES Act and the PPP itself have not specific exceptions or leniencies from Regulation B adverse action timing and notice requirements. </w:t>
      </w:r>
      <w:r w:rsidRPr="00202C1F">
        <w:rPr>
          <w:rFonts w:ascii="Arial Narrow" w:hAnsi="Arial Narrow" w:cs="Segoe UI"/>
          <w:color w:val="2F3941"/>
          <w:shd w:val="clear" w:color="auto" w:fill="FFFFFF"/>
        </w:rPr>
        <w:t xml:space="preserve">With the current situation being as it is, that the PPP is currently without funds, for those applications currently sitting with the bank, most banks that C/A has spoken to about this over the past couple of days are planning to hold off on sending adverse action notices until toward the end of the application’s respective 30-day time period, in case Congress reauthorizes more funding soon.  Yesterday, April 21, 2020, the Senate approved an additional $310 billion for the Paycheck Protection Program.  The deal also provides $75 billion for hospitals and health care providers stretched thin by the pandemic to address corona expenses and lost revenue.  The bill still needs to pass Congress (who are expected to vote sometime this week) and the President has stated he intends to sign. </w:t>
      </w:r>
    </w:p>
    <w:p w14:paraId="7FD087AB" w14:textId="7901CC5C" w:rsidR="00FB0141" w:rsidRPr="00202C1F" w:rsidRDefault="00FB0141" w:rsidP="00A0760F">
      <w:pPr>
        <w:tabs>
          <w:tab w:val="num" w:pos="720"/>
        </w:tabs>
        <w:spacing w:before="120" w:after="120"/>
        <w:jc w:val="both"/>
        <w:rPr>
          <w:rFonts w:ascii="Arial Narrow" w:hAnsi="Arial Narrow" w:cs="Segoe UI"/>
          <w:color w:val="2F3941"/>
          <w:shd w:val="clear" w:color="auto" w:fill="FFFFFF"/>
        </w:rPr>
      </w:pPr>
      <w:r w:rsidRPr="00202C1F">
        <w:rPr>
          <w:rFonts w:ascii="Arial Narrow" w:hAnsi="Arial Narrow" w:cs="Segoe UI"/>
          <w:color w:val="2F3941"/>
          <w:shd w:val="clear" w:color="auto" w:fill="FFFFFF"/>
        </w:rPr>
        <w:t>However, that is not to say that the bank is not free to send out adverse actions now denying the applications currently in the pipeline. If you decide to send the adverse notices now, C/A is generally suggesting to include extra information with the bank's notices, like on a cover letter, explaining the unique circumstances and informing applicants to watch for increased funding, additional messaging from the bank, and/or alternative loans the bank may be offering.</w:t>
      </w:r>
    </w:p>
    <w:p w14:paraId="5509E686" w14:textId="33233E54" w:rsidR="00FB0141" w:rsidRPr="00202C1F" w:rsidRDefault="00FB0141" w:rsidP="00A0760F">
      <w:pPr>
        <w:tabs>
          <w:tab w:val="num" w:pos="720"/>
        </w:tabs>
        <w:spacing w:before="120" w:after="120"/>
        <w:jc w:val="both"/>
        <w:rPr>
          <w:rFonts w:ascii="Arial Narrow" w:hAnsi="Arial Narrow" w:cs="Segoe UI"/>
          <w:color w:val="2F3941"/>
          <w:shd w:val="clear" w:color="auto" w:fill="FFFFFF"/>
        </w:rPr>
      </w:pPr>
      <w:r w:rsidRPr="00202C1F">
        <w:rPr>
          <w:rFonts w:ascii="Arial Narrow" w:hAnsi="Arial Narrow" w:cs="Segoe UI"/>
          <w:color w:val="2F3941"/>
          <w:shd w:val="clear" w:color="auto" w:fill="FFFFFF"/>
        </w:rPr>
        <w:lastRenderedPageBreak/>
        <w:t xml:space="preserve">It is also important to note that Senators are petitioning to SBA to allow E-Tran submissions for PPP loans during this lapsed funding </w:t>
      </w:r>
      <w:r w:rsidR="005F1A82" w:rsidRPr="00202C1F">
        <w:rPr>
          <w:rFonts w:ascii="Arial Narrow" w:hAnsi="Arial Narrow" w:cs="Segoe UI"/>
          <w:color w:val="2F3941"/>
          <w:shd w:val="clear" w:color="auto" w:fill="FFFFFF"/>
        </w:rPr>
        <w:t xml:space="preserve">for loan applications that had been completed as of April 16, 2020 (the date the initial funding ran out).  Once program funds were exhausted, the SBA had announced that they would no longer accept PPP loan applications.  By providing access to E-Tran, lenders would be allowed to submit the backlog of applications they had previously received.  It would also protect businesses that previously applied from being leap-frogged by new applicants should the program reopen.  This is something currently in development so bank’s need to be aware of any changes and to had diligently for their customers currently in queue. </w:t>
      </w:r>
    </w:p>
    <w:p w14:paraId="276B5375" w14:textId="254BB846" w:rsidR="00816065" w:rsidRPr="00202C1F" w:rsidRDefault="00816065" w:rsidP="00A0760F">
      <w:pPr>
        <w:pStyle w:val="ListParagraph"/>
        <w:numPr>
          <w:ilvl w:val="0"/>
          <w:numId w:val="29"/>
        </w:numPr>
        <w:spacing w:before="120" w:after="120"/>
        <w:jc w:val="both"/>
        <w:rPr>
          <w:rFonts w:ascii="Arial Narrow" w:hAnsi="Arial Narrow" w:cs="Arial"/>
          <w:b/>
          <w:bCs/>
          <w:color w:val="000000"/>
        </w:rPr>
      </w:pPr>
      <w:r w:rsidRPr="00202C1F">
        <w:rPr>
          <w:rFonts w:ascii="Arial Narrow" w:hAnsi="Arial Narrow" w:cs="Arial"/>
          <w:b/>
          <w:bCs/>
          <w:color w:val="000000"/>
        </w:rPr>
        <w:t xml:space="preserve">Are banks required to send billing statements during the </w:t>
      </w:r>
      <w:r w:rsidR="005F1A82" w:rsidRPr="00202C1F">
        <w:rPr>
          <w:rFonts w:ascii="Arial Narrow" w:hAnsi="Arial Narrow" w:cs="Arial"/>
          <w:b/>
          <w:bCs/>
          <w:color w:val="000000"/>
        </w:rPr>
        <w:t>90-180-day</w:t>
      </w:r>
      <w:r w:rsidRPr="00202C1F">
        <w:rPr>
          <w:rFonts w:ascii="Arial Narrow" w:hAnsi="Arial Narrow" w:cs="Arial"/>
          <w:b/>
          <w:bCs/>
          <w:color w:val="000000"/>
        </w:rPr>
        <w:t xml:space="preserve"> period of deferred payments?</w:t>
      </w:r>
    </w:p>
    <w:p w14:paraId="02E2CA53" w14:textId="1C2E56FC" w:rsidR="00763A59" w:rsidRPr="00202C1F" w:rsidRDefault="00763A59" w:rsidP="00A0760F">
      <w:pPr>
        <w:tabs>
          <w:tab w:val="num" w:pos="720"/>
        </w:tabs>
        <w:spacing w:before="120" w:after="120"/>
        <w:jc w:val="both"/>
        <w:rPr>
          <w:rFonts w:ascii="Arial Narrow" w:hAnsi="Arial Narrow" w:cs="Segoe UI"/>
          <w:color w:val="2F3941"/>
        </w:rPr>
      </w:pPr>
      <w:r w:rsidRPr="00202C1F">
        <w:rPr>
          <w:rFonts w:ascii="Arial Narrow" w:hAnsi="Arial Narrow" w:cs="Segoe UI"/>
          <w:color w:val="2F3941"/>
          <w:shd w:val="clear" w:color="auto" w:fill="FFFFFF"/>
        </w:rPr>
        <w:t xml:space="preserve">The guidance has focused on helping current customers, within the bank's safety and soundness parameters. However, there has not been any explicit suspension of regulatory requirements.  With that being said, it ultimately depends on what type of loan transaction this is referring to. </w:t>
      </w:r>
      <w:r w:rsidR="003E6017">
        <w:rPr>
          <w:rFonts w:ascii="Arial Narrow" w:hAnsi="Arial Narrow" w:cs="Segoe UI"/>
          <w:color w:val="2F3941"/>
          <w:shd w:val="clear" w:color="auto" w:fill="FFFFFF"/>
        </w:rPr>
        <w:t>However, it also hinges on the fact that the regulation itself lacks a definition on what is a defined billing period and whether or not deferment is outside that scope.  Conservatively, banks should not be interpreting deferment periods outside the scope of a billing period and should be sending, as required</w:t>
      </w:r>
      <w:r w:rsidR="00E26651">
        <w:rPr>
          <w:rFonts w:ascii="Arial Narrow" w:hAnsi="Arial Narrow" w:cs="Segoe UI"/>
          <w:color w:val="2F3941"/>
          <w:shd w:val="clear" w:color="auto" w:fill="FFFFFF"/>
        </w:rPr>
        <w:t xml:space="preserve"> and applicable</w:t>
      </w:r>
      <w:bookmarkStart w:id="0" w:name="_GoBack"/>
      <w:bookmarkEnd w:id="0"/>
      <w:r w:rsidR="003E6017">
        <w:rPr>
          <w:rFonts w:ascii="Arial Narrow" w:hAnsi="Arial Narrow" w:cs="Segoe UI"/>
          <w:color w:val="2F3941"/>
          <w:shd w:val="clear" w:color="auto" w:fill="FFFFFF"/>
        </w:rPr>
        <w:t>, periodic statements.</w:t>
      </w:r>
    </w:p>
    <w:p w14:paraId="13C13467" w14:textId="77777777" w:rsidR="00763A59" w:rsidRPr="00202C1F" w:rsidRDefault="00763A59" w:rsidP="00A0760F">
      <w:pPr>
        <w:spacing w:before="120" w:after="120"/>
        <w:rPr>
          <w:rFonts w:ascii="Arial Narrow" w:hAnsi="Arial Narrow" w:cs="Segoe UI"/>
          <w:color w:val="2F3941"/>
        </w:rPr>
      </w:pPr>
      <w:r w:rsidRPr="00202C1F">
        <w:rPr>
          <w:rFonts w:ascii="Arial Narrow" w:hAnsi="Arial Narrow" w:cs="Segoe UI"/>
          <w:color w:val="2F3941"/>
          <w:shd w:val="clear" w:color="auto" w:fill="FFFFFF"/>
        </w:rPr>
        <w:t>Here are the periodic statement requirements: </w:t>
      </w:r>
    </w:p>
    <w:p w14:paraId="7FC3465B" w14:textId="77777777" w:rsidR="00763A59" w:rsidRPr="00202C1F" w:rsidRDefault="00763A59" w:rsidP="00A0760F">
      <w:pPr>
        <w:pStyle w:val="ListParagraph"/>
        <w:numPr>
          <w:ilvl w:val="0"/>
          <w:numId w:val="33"/>
        </w:numPr>
        <w:spacing w:before="120" w:after="120"/>
        <w:rPr>
          <w:rFonts w:ascii="Arial Narrow" w:hAnsi="Arial Narrow" w:cs="Segoe UI"/>
          <w:color w:val="2F3941"/>
          <w:shd w:val="clear" w:color="auto" w:fill="FFFFFF"/>
        </w:rPr>
      </w:pPr>
      <w:r w:rsidRPr="00202C1F">
        <w:rPr>
          <w:rFonts w:ascii="Arial Narrow" w:hAnsi="Arial Narrow" w:cs="Segoe UI"/>
          <w:color w:val="2F3941"/>
          <w:shd w:val="clear" w:color="auto" w:fill="FFFFFF"/>
        </w:rPr>
        <w:t>Open-end unsecured / credit cards - periodic statements </w:t>
      </w:r>
      <w:r w:rsidRPr="00202C1F">
        <w:rPr>
          <w:rFonts w:ascii="Arial Narrow" w:hAnsi="Arial Narrow" w:cs="Segoe UI"/>
          <w:b/>
          <w:bCs/>
          <w:color w:val="2F3941"/>
          <w:bdr w:val="none" w:sz="0" w:space="0" w:color="auto" w:frame="1"/>
          <w:shd w:val="clear" w:color="auto" w:fill="FFFFFF"/>
        </w:rPr>
        <w:t>required</w:t>
      </w:r>
      <w:r w:rsidRPr="00202C1F">
        <w:rPr>
          <w:rFonts w:ascii="Arial Narrow" w:hAnsi="Arial Narrow" w:cs="Segoe UI"/>
          <w:color w:val="2F3941"/>
          <w:shd w:val="clear" w:color="auto" w:fill="FFFFFF"/>
        </w:rPr>
        <w:t> by Reg Z if there is a debit or credit balance of at least $1 or on which a finance charge has been imposed.  Periodic statements are not required if the bank considers the debt uncollectable (meaning the bank has ceased collection efforts, either directly or through a third party).  If, after the draw period, the line converts to closed-end as per written agreement, then periodic statements are no longer required after the line converts to closed-end. If the line of credit is above the $58,300 Reg Z threshold, then periodic statements are also not required.</w:t>
      </w:r>
    </w:p>
    <w:p w14:paraId="12508357" w14:textId="77777777" w:rsidR="00763A59" w:rsidRPr="00202C1F" w:rsidRDefault="00763A59" w:rsidP="00A0760F">
      <w:pPr>
        <w:pStyle w:val="ListParagraph"/>
        <w:numPr>
          <w:ilvl w:val="0"/>
          <w:numId w:val="33"/>
        </w:numPr>
        <w:spacing w:before="120" w:after="120"/>
        <w:rPr>
          <w:rFonts w:ascii="Arial Narrow" w:hAnsi="Arial Narrow" w:cs="Segoe UI"/>
          <w:color w:val="2F3941"/>
          <w:shd w:val="clear" w:color="auto" w:fill="FFFFFF"/>
        </w:rPr>
      </w:pPr>
      <w:r w:rsidRPr="00202C1F">
        <w:rPr>
          <w:rFonts w:ascii="Arial Narrow" w:hAnsi="Arial Narrow" w:cs="Segoe UI"/>
          <w:color w:val="2F3941"/>
          <w:shd w:val="clear" w:color="auto" w:fill="FFFFFF"/>
        </w:rPr>
        <w:t>Open-end secured - periodic statements </w:t>
      </w:r>
      <w:r w:rsidRPr="00202C1F">
        <w:rPr>
          <w:rFonts w:ascii="Arial Narrow" w:hAnsi="Arial Narrow" w:cs="Segoe UI"/>
          <w:b/>
          <w:bCs/>
          <w:color w:val="2F3941"/>
          <w:bdr w:val="none" w:sz="0" w:space="0" w:color="auto" w:frame="1"/>
          <w:shd w:val="clear" w:color="auto" w:fill="FFFFFF"/>
        </w:rPr>
        <w:t>required</w:t>
      </w:r>
      <w:r w:rsidRPr="00202C1F">
        <w:rPr>
          <w:rFonts w:ascii="Arial Narrow" w:hAnsi="Arial Narrow" w:cs="Segoe UI"/>
          <w:color w:val="2F3941"/>
          <w:shd w:val="clear" w:color="auto" w:fill="FFFFFF"/>
        </w:rPr>
        <w:t> by Reg Z if there is a debit or credit balance of at least $1 or on which a finance charge has been imposed.  If, after the draw period, the line converts to closed-end as per written agreement, then periodic statements are no longer required after the line converts to closed-end.  Periodic statements are not required if the bank considers the debt uncollectable. </w:t>
      </w:r>
    </w:p>
    <w:p w14:paraId="2B965250" w14:textId="77777777" w:rsidR="00763A59" w:rsidRPr="00202C1F" w:rsidRDefault="00763A59" w:rsidP="00A0760F">
      <w:pPr>
        <w:pStyle w:val="ListParagraph"/>
        <w:numPr>
          <w:ilvl w:val="0"/>
          <w:numId w:val="33"/>
        </w:numPr>
        <w:spacing w:before="120" w:after="120"/>
        <w:rPr>
          <w:rFonts w:ascii="Arial Narrow" w:hAnsi="Arial Narrow" w:cs="Segoe UI"/>
          <w:color w:val="2F3941"/>
          <w:shd w:val="clear" w:color="auto" w:fill="FFFFFF"/>
        </w:rPr>
      </w:pPr>
      <w:r w:rsidRPr="00202C1F">
        <w:rPr>
          <w:rFonts w:ascii="Arial Narrow" w:hAnsi="Arial Narrow" w:cs="Segoe UI"/>
          <w:color w:val="2F3941"/>
          <w:shd w:val="clear" w:color="auto" w:fill="FFFFFF"/>
        </w:rPr>
        <w:t>Open-end home secured - periodic statements </w:t>
      </w:r>
      <w:r w:rsidRPr="00202C1F">
        <w:rPr>
          <w:rFonts w:ascii="Arial Narrow" w:hAnsi="Arial Narrow" w:cs="Segoe UI"/>
          <w:b/>
          <w:bCs/>
          <w:color w:val="2F3941"/>
          <w:bdr w:val="none" w:sz="0" w:space="0" w:color="auto" w:frame="1"/>
          <w:shd w:val="clear" w:color="auto" w:fill="FFFFFF"/>
        </w:rPr>
        <w:t>required</w:t>
      </w:r>
      <w:r w:rsidRPr="00202C1F">
        <w:rPr>
          <w:rFonts w:ascii="Arial Narrow" w:hAnsi="Arial Narrow" w:cs="Segoe UI"/>
          <w:color w:val="2F3941"/>
          <w:shd w:val="clear" w:color="auto" w:fill="FFFFFF"/>
        </w:rPr>
        <w:t> by Reg Z if there is a debit or credit balance of at least $1 or on which a finance charge has been imposed.  If, after the draw period, the line converts to closed-end as per written agreement, then periodic statements are no longer required after the line converts to closed-end. Periodic statements are not required if the bank considers the debt uncollectable. Not subject to the Reg Z threshold.</w:t>
      </w:r>
    </w:p>
    <w:p w14:paraId="4EA6C4E6" w14:textId="77777777" w:rsidR="00763A59" w:rsidRPr="00202C1F" w:rsidRDefault="00763A59" w:rsidP="00A0760F">
      <w:pPr>
        <w:pStyle w:val="ListParagraph"/>
        <w:numPr>
          <w:ilvl w:val="0"/>
          <w:numId w:val="33"/>
        </w:numPr>
        <w:spacing w:before="120" w:after="120"/>
        <w:rPr>
          <w:rFonts w:ascii="Arial Narrow" w:hAnsi="Arial Narrow" w:cs="Segoe UI"/>
          <w:color w:val="2F3941"/>
          <w:shd w:val="clear" w:color="auto" w:fill="FFFFFF"/>
        </w:rPr>
      </w:pPr>
      <w:r w:rsidRPr="00202C1F">
        <w:rPr>
          <w:rFonts w:ascii="Arial Narrow" w:hAnsi="Arial Narrow" w:cs="Segoe UI"/>
          <w:color w:val="2F3941"/>
          <w:shd w:val="clear" w:color="auto" w:fill="FFFFFF"/>
        </w:rPr>
        <w:t>Closed-end unsecured / Private student loans - periodic statements not required by Reg Z.  </w:t>
      </w:r>
    </w:p>
    <w:p w14:paraId="2A7A1979" w14:textId="77777777" w:rsidR="00763A59" w:rsidRPr="00202C1F" w:rsidRDefault="00763A59" w:rsidP="00A0760F">
      <w:pPr>
        <w:pStyle w:val="ListParagraph"/>
        <w:numPr>
          <w:ilvl w:val="0"/>
          <w:numId w:val="33"/>
        </w:numPr>
        <w:spacing w:before="120" w:after="120"/>
        <w:rPr>
          <w:rFonts w:ascii="Arial Narrow" w:hAnsi="Arial Narrow" w:cs="Segoe UI"/>
          <w:color w:val="2F3941"/>
          <w:shd w:val="clear" w:color="auto" w:fill="FFFFFF"/>
        </w:rPr>
      </w:pPr>
      <w:r w:rsidRPr="00202C1F">
        <w:rPr>
          <w:rFonts w:ascii="Arial Narrow" w:hAnsi="Arial Narrow" w:cs="Segoe UI"/>
          <w:color w:val="2F3941"/>
          <w:shd w:val="clear" w:color="auto" w:fill="FFFFFF"/>
        </w:rPr>
        <w:t>Closed-end secured - periodic statements not required by Reg Z. </w:t>
      </w:r>
    </w:p>
    <w:p w14:paraId="7544B604" w14:textId="77777777" w:rsidR="00763A59" w:rsidRPr="00202C1F" w:rsidRDefault="00763A59" w:rsidP="00A0760F">
      <w:pPr>
        <w:pStyle w:val="ListParagraph"/>
        <w:numPr>
          <w:ilvl w:val="0"/>
          <w:numId w:val="33"/>
        </w:numPr>
        <w:spacing w:before="120" w:after="120"/>
        <w:rPr>
          <w:rFonts w:ascii="Arial Narrow" w:hAnsi="Arial Narrow" w:cs="Segoe UI"/>
          <w:color w:val="2F3941"/>
          <w:shd w:val="clear" w:color="auto" w:fill="FFFFFF"/>
        </w:rPr>
      </w:pPr>
      <w:r w:rsidRPr="00202C1F">
        <w:rPr>
          <w:rFonts w:ascii="Arial Narrow" w:hAnsi="Arial Narrow" w:cs="Segoe UI"/>
          <w:color w:val="2F3941"/>
          <w:shd w:val="clear" w:color="auto" w:fill="FFFFFF"/>
        </w:rPr>
        <w:t>Closed-end home secured - periodic statements </w:t>
      </w:r>
      <w:r w:rsidRPr="00202C1F">
        <w:rPr>
          <w:rFonts w:ascii="Arial Narrow" w:hAnsi="Arial Narrow" w:cs="Segoe UI"/>
          <w:b/>
          <w:bCs/>
          <w:color w:val="2F3941"/>
          <w:bdr w:val="none" w:sz="0" w:space="0" w:color="auto" w:frame="1"/>
          <w:shd w:val="clear" w:color="auto" w:fill="FFFFFF"/>
        </w:rPr>
        <w:t>required</w:t>
      </w:r>
      <w:r w:rsidRPr="00202C1F">
        <w:rPr>
          <w:rFonts w:ascii="Arial Narrow" w:hAnsi="Arial Narrow" w:cs="Segoe UI"/>
          <w:color w:val="2F3941"/>
          <w:shd w:val="clear" w:color="auto" w:fill="FFFFFF"/>
        </w:rPr>
        <w:t> by Reg Z unless it is a reverse mortgage, timeshare plan, the customer was provided with a coupon book, you're a small servicer (5,000 or fewer mortgage loans for which you are a servicer or assignee), consumers in bankruptcy or charged off loans, in which case an exception is provided by the regulation, and in those instances periodic statements are not required. </w:t>
      </w:r>
    </w:p>
    <w:p w14:paraId="2996B0DB" w14:textId="77777777" w:rsidR="00763A59" w:rsidRPr="00202C1F" w:rsidRDefault="00763A59" w:rsidP="00DB57A7">
      <w:pPr>
        <w:spacing w:before="120" w:after="120"/>
        <w:ind w:left="360"/>
        <w:rPr>
          <w:rFonts w:ascii="Arial Narrow" w:hAnsi="Arial Narrow" w:cs="Segoe UI"/>
          <w:color w:val="2F3941"/>
        </w:rPr>
      </w:pPr>
      <w:r w:rsidRPr="00202C1F">
        <w:rPr>
          <w:rFonts w:ascii="Arial Narrow" w:hAnsi="Arial Narrow" w:cs="Segoe UI"/>
          <w:color w:val="2F3941"/>
          <w:shd w:val="clear" w:color="auto" w:fill="FFFFFF"/>
        </w:rPr>
        <w:t>References:</w:t>
      </w:r>
      <w:r w:rsidRPr="00202C1F">
        <w:rPr>
          <w:rFonts w:ascii="Arial Narrow" w:hAnsi="Arial Narrow" w:cs="Segoe UI"/>
          <w:color w:val="2F3941"/>
        </w:rPr>
        <w:br/>
      </w:r>
      <w:r w:rsidRPr="00202C1F">
        <w:rPr>
          <w:rFonts w:ascii="Arial Narrow" w:hAnsi="Arial Narrow" w:cs="Segoe UI"/>
          <w:color w:val="2F3941"/>
          <w:shd w:val="clear" w:color="auto" w:fill="FFFFFF"/>
        </w:rPr>
        <w:t>"The creditor shall furnish the consumer with a periodic statement that discloses the following items, to the extent applicable:"</w:t>
      </w:r>
      <w:r w:rsidRPr="00202C1F">
        <w:rPr>
          <w:rFonts w:ascii="Arial Narrow" w:hAnsi="Arial Narrow" w:cs="Segoe UI"/>
          <w:color w:val="2F3941"/>
        </w:rPr>
        <w:br/>
      </w:r>
      <w:r w:rsidRPr="00202C1F">
        <w:rPr>
          <w:rFonts w:ascii="Arial Narrow" w:hAnsi="Arial Narrow" w:cs="Segoe UI"/>
          <w:color w:val="2F3941"/>
          <w:shd w:val="clear" w:color="auto" w:fill="FFFFFF"/>
        </w:rPr>
        <w:t>12 CFR 1026.7 </w:t>
      </w:r>
      <w:hyperlink r:id="rId16" w:history="1">
        <w:r w:rsidRPr="00202C1F">
          <w:rPr>
            <w:rStyle w:val="Hyperlink"/>
            <w:rFonts w:ascii="Arial Narrow" w:hAnsi="Arial Narrow" w:cs="Segoe UI"/>
            <w:color w:val="1F73B7"/>
            <w:shd w:val="clear" w:color="auto" w:fill="FFFFFF"/>
          </w:rPr>
          <w:t>https://www.consumerfinance.gov/policy-compliance/rulemaking/regulations/1026/7/</w:t>
        </w:r>
      </w:hyperlink>
    </w:p>
    <w:p w14:paraId="36035E9F" w14:textId="30AE4B97" w:rsidR="00763A59" w:rsidRPr="00202C1F" w:rsidRDefault="00763A59" w:rsidP="00DB57A7">
      <w:pPr>
        <w:spacing w:before="120" w:after="120"/>
        <w:ind w:left="360"/>
        <w:rPr>
          <w:rFonts w:ascii="Arial Narrow" w:hAnsi="Arial Narrow" w:cs="Segoe UI"/>
          <w:color w:val="2F3941"/>
        </w:rPr>
      </w:pPr>
      <w:r w:rsidRPr="00202C1F">
        <w:rPr>
          <w:rFonts w:ascii="Arial Narrow" w:hAnsi="Arial Narrow" w:cs="Segoe UI"/>
          <w:color w:val="2F3941"/>
          <w:shd w:val="clear" w:color="auto" w:fill="FFFFFF"/>
        </w:rPr>
        <w:lastRenderedPageBreak/>
        <w:t>"A servicer of a transaction subject to this section shall provide the consumer, for each billing cycle, a periodic statement meeting the requirements of paragraphs (b), (c), and (d) of this section. If a mortgage loan has a billing cycle shorter than a period of 31 days (for example, a bi-weekly billing cycle), a periodic statement covering an entire month may be used."</w:t>
      </w:r>
      <w:r w:rsidRPr="00202C1F">
        <w:rPr>
          <w:rFonts w:ascii="Arial Narrow" w:hAnsi="Arial Narrow" w:cs="Segoe UI"/>
          <w:color w:val="2F3941"/>
        </w:rPr>
        <w:br/>
      </w:r>
      <w:r w:rsidRPr="00202C1F">
        <w:rPr>
          <w:rFonts w:ascii="Arial Narrow" w:hAnsi="Arial Narrow" w:cs="Segoe UI"/>
          <w:color w:val="2F3941"/>
          <w:shd w:val="clear" w:color="auto" w:fill="FFFFFF"/>
        </w:rPr>
        <w:t>12 CFR 1026.41(a)(2) </w:t>
      </w:r>
      <w:hyperlink r:id="rId17" w:anchor="a-2" w:history="1">
        <w:r w:rsidRPr="00202C1F">
          <w:rPr>
            <w:rStyle w:val="Hyperlink"/>
            <w:rFonts w:ascii="Arial Narrow" w:hAnsi="Arial Narrow" w:cs="Segoe UI"/>
            <w:color w:val="1F73B7"/>
            <w:shd w:val="clear" w:color="auto" w:fill="FFFFFF"/>
          </w:rPr>
          <w:t>https://www.consumerfinance.gov/policy-compliance/rulemaking/regulations/1026/41/#a-2</w:t>
        </w:r>
      </w:hyperlink>
    </w:p>
    <w:p w14:paraId="6A3541A0" w14:textId="3199EF73" w:rsidR="00763A59" w:rsidRPr="00202C1F" w:rsidRDefault="00763A59" w:rsidP="00DB57A7">
      <w:pPr>
        <w:spacing w:before="120" w:after="120"/>
        <w:ind w:left="360"/>
        <w:rPr>
          <w:rFonts w:ascii="Arial Narrow" w:hAnsi="Arial Narrow" w:cs="Segoe UI"/>
          <w:color w:val="2F3941"/>
        </w:rPr>
      </w:pPr>
      <w:r w:rsidRPr="00202C1F">
        <w:rPr>
          <w:rFonts w:ascii="Arial Narrow" w:hAnsi="Arial Narrow" w:cs="Segoe UI"/>
          <w:color w:val="2F3941"/>
          <w:shd w:val="clear" w:color="auto" w:fill="FFFFFF"/>
        </w:rPr>
        <w:t>"Based on the annual percentage increase in the CPI-W as of June 1, 2019, the exemption threshold will increase from $57,200 to $58,300 effective January 1, 2020."</w:t>
      </w:r>
      <w:r w:rsidRPr="00202C1F">
        <w:rPr>
          <w:rFonts w:ascii="Arial Narrow" w:hAnsi="Arial Narrow" w:cs="Segoe UI"/>
          <w:color w:val="2F3941"/>
        </w:rPr>
        <w:br/>
      </w:r>
      <w:hyperlink r:id="rId18" w:history="1">
        <w:r w:rsidR="00DB57A7" w:rsidRPr="00202C1F">
          <w:rPr>
            <w:rStyle w:val="Hyperlink"/>
            <w:rFonts w:ascii="Arial Narrow" w:hAnsi="Arial Narrow" w:cs="Segoe UI"/>
            <w:shd w:val="clear" w:color="auto" w:fill="FFFFFF"/>
          </w:rPr>
          <w:t>https://www.federalregister.gov/d/2019-21557/p-3</w:t>
        </w:r>
      </w:hyperlink>
    </w:p>
    <w:p w14:paraId="61E7E46D" w14:textId="77777777" w:rsidR="00763A59" w:rsidRPr="00202C1F" w:rsidRDefault="00763A59" w:rsidP="00DB57A7">
      <w:pPr>
        <w:spacing w:before="120" w:after="120"/>
        <w:ind w:left="360"/>
        <w:rPr>
          <w:rFonts w:ascii="Arial Narrow" w:hAnsi="Arial Narrow" w:cs="Segoe UI"/>
          <w:color w:val="2F3941"/>
        </w:rPr>
      </w:pPr>
      <w:r w:rsidRPr="00202C1F">
        <w:rPr>
          <w:rFonts w:ascii="Arial Narrow" w:hAnsi="Arial Narrow" w:cs="Segoe UI"/>
          <w:color w:val="2F3941"/>
          <w:shd w:val="clear" w:color="auto" w:fill="FFFFFF"/>
        </w:rPr>
        <w:t>"Statement required. The creditor shall mail or deliver a periodic statement as required by § </w:t>
      </w:r>
      <w:hyperlink r:id="rId19" w:history="1">
        <w:r w:rsidRPr="00202C1F">
          <w:rPr>
            <w:rStyle w:val="Hyperlink"/>
            <w:rFonts w:ascii="Arial Narrow" w:hAnsi="Arial Narrow" w:cs="Segoe UI"/>
            <w:color w:val="1F73B7"/>
            <w:shd w:val="clear" w:color="auto" w:fill="FFFFFF"/>
          </w:rPr>
          <w:t>1026.7</w:t>
        </w:r>
      </w:hyperlink>
      <w:r w:rsidRPr="00202C1F">
        <w:rPr>
          <w:rFonts w:ascii="Arial Narrow" w:hAnsi="Arial Narrow" w:cs="Segoe UI"/>
          <w:color w:val="2F3941"/>
          <w:shd w:val="clear" w:color="auto" w:fill="FFFFFF"/>
        </w:rPr>
        <w:t> for each billing cycle at the end of which an account has a debit or credit balance of more than $1 or on which a finance charge has been imposed. A periodic statement need not be sent for an account if the creditor deems it uncollectible, if delinquency collection proceedings have been instituted, if the creditor has charged off the account in accordance with loan-loss provisions and will not charge any additional fees or interest on the account, or if furnishing the statement would violate Federal law."</w:t>
      </w:r>
      <w:r w:rsidRPr="00202C1F">
        <w:rPr>
          <w:rFonts w:ascii="Arial Narrow" w:hAnsi="Arial Narrow" w:cs="Segoe UI"/>
          <w:color w:val="2F3941"/>
        </w:rPr>
        <w:t xml:space="preserve"> </w:t>
      </w:r>
      <w:r w:rsidRPr="00202C1F">
        <w:rPr>
          <w:rFonts w:ascii="Arial Narrow" w:hAnsi="Arial Narrow" w:cs="Segoe UI"/>
          <w:color w:val="2F3941"/>
          <w:shd w:val="clear" w:color="auto" w:fill="FFFFFF"/>
        </w:rPr>
        <w:t>12 CFR 1026.5(b)(2)(i) </w:t>
      </w:r>
      <w:hyperlink r:id="rId20" w:anchor="b-2-i" w:history="1">
        <w:r w:rsidRPr="00202C1F">
          <w:rPr>
            <w:rStyle w:val="Hyperlink"/>
            <w:rFonts w:ascii="Arial Narrow" w:hAnsi="Arial Narrow" w:cs="Segoe UI"/>
            <w:color w:val="1F73B7"/>
            <w:shd w:val="clear" w:color="auto" w:fill="FFFFFF"/>
          </w:rPr>
          <w:t>https://www.consumerfinance.gov/policy-compliance/rulemaking/regulations/1026/5/#b-2-i</w:t>
        </w:r>
      </w:hyperlink>
    </w:p>
    <w:p w14:paraId="6E981722" w14:textId="669AF64D" w:rsidR="00763A59" w:rsidRPr="00202C1F" w:rsidRDefault="00763A59" w:rsidP="00DB57A7">
      <w:pPr>
        <w:spacing w:before="120" w:after="120"/>
        <w:ind w:firstLine="360"/>
        <w:rPr>
          <w:rFonts w:ascii="Arial Narrow" w:hAnsi="Arial Narrow" w:cs="Segoe UI"/>
          <w:color w:val="2F3941"/>
          <w:shd w:val="clear" w:color="auto" w:fill="FFFFFF"/>
        </w:rPr>
      </w:pPr>
      <w:r w:rsidRPr="00202C1F">
        <w:rPr>
          <w:rFonts w:ascii="Arial Narrow" w:hAnsi="Arial Narrow" w:cs="Segoe UI"/>
          <w:color w:val="2F3941"/>
          <w:shd w:val="clear" w:color="auto" w:fill="FFFFFF"/>
        </w:rPr>
        <w:t>"(e) Exemptions —</w:t>
      </w:r>
    </w:p>
    <w:p w14:paraId="5BBC5881" w14:textId="77777777" w:rsidR="00763A59" w:rsidRPr="00202C1F" w:rsidRDefault="00763A59" w:rsidP="00DB57A7">
      <w:pPr>
        <w:pStyle w:val="NormalWeb"/>
        <w:spacing w:before="120" w:beforeAutospacing="0" w:after="120" w:afterAutospacing="0" w:line="276" w:lineRule="auto"/>
        <w:ind w:firstLine="360"/>
        <w:textAlignment w:val="baseline"/>
        <w:rPr>
          <w:rFonts w:ascii="Arial Narrow" w:hAnsi="Arial Narrow" w:cs="Segoe UI"/>
          <w:color w:val="2F3941"/>
          <w:sz w:val="22"/>
          <w:szCs w:val="22"/>
        </w:rPr>
      </w:pPr>
      <w:r w:rsidRPr="00202C1F">
        <w:rPr>
          <w:rFonts w:ascii="Arial Narrow" w:hAnsi="Arial Narrow" w:cs="Segoe UI"/>
          <w:color w:val="2F3941"/>
          <w:sz w:val="22"/>
          <w:szCs w:val="22"/>
        </w:rPr>
        <w:t>(1) Reverse mortgages. </w:t>
      </w:r>
    </w:p>
    <w:p w14:paraId="639C2F18" w14:textId="77777777" w:rsidR="00763A59" w:rsidRPr="00202C1F" w:rsidRDefault="00763A59" w:rsidP="00DB57A7">
      <w:pPr>
        <w:pStyle w:val="NormalWeb"/>
        <w:spacing w:before="120" w:beforeAutospacing="0" w:after="120" w:afterAutospacing="0" w:line="276" w:lineRule="auto"/>
        <w:ind w:firstLine="360"/>
        <w:textAlignment w:val="baseline"/>
        <w:rPr>
          <w:rFonts w:ascii="Arial Narrow" w:hAnsi="Arial Narrow" w:cs="Segoe UI"/>
          <w:color w:val="2F3941"/>
          <w:sz w:val="22"/>
          <w:szCs w:val="22"/>
        </w:rPr>
      </w:pPr>
      <w:r w:rsidRPr="00202C1F">
        <w:rPr>
          <w:rFonts w:ascii="Arial Narrow" w:hAnsi="Arial Narrow" w:cs="Segoe UI"/>
          <w:color w:val="2F3941"/>
          <w:sz w:val="22"/>
          <w:szCs w:val="22"/>
        </w:rPr>
        <w:t>(2) Timeshare plans. </w:t>
      </w:r>
    </w:p>
    <w:p w14:paraId="79C78A93" w14:textId="77777777" w:rsidR="00763A59" w:rsidRPr="00202C1F" w:rsidRDefault="00763A59" w:rsidP="00DB57A7">
      <w:pPr>
        <w:pStyle w:val="NormalWeb"/>
        <w:spacing w:before="120" w:beforeAutospacing="0" w:after="120" w:afterAutospacing="0" w:line="276" w:lineRule="auto"/>
        <w:ind w:firstLine="360"/>
        <w:textAlignment w:val="baseline"/>
        <w:rPr>
          <w:rFonts w:ascii="Arial Narrow" w:hAnsi="Arial Narrow" w:cs="Segoe UI"/>
          <w:color w:val="2F3941"/>
          <w:sz w:val="22"/>
          <w:szCs w:val="22"/>
        </w:rPr>
      </w:pPr>
      <w:r w:rsidRPr="00202C1F">
        <w:rPr>
          <w:rFonts w:ascii="Arial Narrow" w:hAnsi="Arial Narrow" w:cs="Segoe UI"/>
          <w:color w:val="2F3941"/>
          <w:sz w:val="22"/>
          <w:szCs w:val="22"/>
        </w:rPr>
        <w:t>(3) Coupon books. </w:t>
      </w:r>
    </w:p>
    <w:p w14:paraId="771C27F4" w14:textId="77777777" w:rsidR="00763A59" w:rsidRPr="00202C1F" w:rsidRDefault="00763A59" w:rsidP="00DB57A7">
      <w:pPr>
        <w:pStyle w:val="NormalWeb"/>
        <w:spacing w:before="120" w:beforeAutospacing="0" w:after="120" w:afterAutospacing="0" w:line="276" w:lineRule="auto"/>
        <w:ind w:firstLine="360"/>
        <w:textAlignment w:val="baseline"/>
        <w:rPr>
          <w:rFonts w:ascii="Arial Narrow" w:hAnsi="Arial Narrow" w:cs="Segoe UI"/>
          <w:color w:val="2F3941"/>
          <w:sz w:val="22"/>
          <w:szCs w:val="22"/>
        </w:rPr>
      </w:pPr>
      <w:r w:rsidRPr="00202C1F">
        <w:rPr>
          <w:rFonts w:ascii="Arial Narrow" w:hAnsi="Arial Narrow" w:cs="Segoe UI"/>
          <w:color w:val="2F3941"/>
          <w:sz w:val="22"/>
          <w:szCs w:val="22"/>
        </w:rPr>
        <w:t>(4) Small servicers —</w:t>
      </w:r>
    </w:p>
    <w:p w14:paraId="607F1BA5" w14:textId="77777777" w:rsidR="00DB57A7" w:rsidRPr="00202C1F" w:rsidRDefault="00763A59" w:rsidP="00DB57A7">
      <w:pPr>
        <w:pStyle w:val="NormalWeb"/>
        <w:spacing w:before="120" w:beforeAutospacing="0" w:after="120" w:afterAutospacing="0" w:line="276" w:lineRule="auto"/>
        <w:ind w:left="720"/>
        <w:textAlignment w:val="baseline"/>
        <w:rPr>
          <w:rFonts w:ascii="Arial Narrow" w:hAnsi="Arial Narrow" w:cs="Segoe UI"/>
          <w:color w:val="2F3941"/>
          <w:sz w:val="22"/>
          <w:szCs w:val="22"/>
        </w:rPr>
      </w:pPr>
      <w:r w:rsidRPr="00202C1F">
        <w:rPr>
          <w:rFonts w:ascii="Arial Narrow" w:hAnsi="Arial Narrow" w:cs="Segoe UI"/>
          <w:color w:val="2F3941"/>
          <w:sz w:val="22"/>
          <w:szCs w:val="22"/>
        </w:rPr>
        <w:t>(A) Services, together with any affiliates, 5,000 or fewer mortgage loans, for all of which the servicer (or an affiliate) is the creditor or assignee;</w:t>
      </w:r>
    </w:p>
    <w:p w14:paraId="3D436CED" w14:textId="550CA0BB" w:rsidR="00763A59" w:rsidRPr="00202C1F" w:rsidRDefault="00763A59" w:rsidP="00DB57A7">
      <w:pPr>
        <w:pStyle w:val="NormalWeb"/>
        <w:spacing w:before="120" w:beforeAutospacing="0" w:after="120" w:afterAutospacing="0" w:line="276" w:lineRule="auto"/>
        <w:ind w:firstLine="360"/>
        <w:textAlignment w:val="baseline"/>
        <w:rPr>
          <w:rFonts w:ascii="Arial Narrow" w:hAnsi="Arial Narrow" w:cs="Segoe UI"/>
          <w:color w:val="2F3941"/>
          <w:sz w:val="22"/>
          <w:szCs w:val="22"/>
        </w:rPr>
      </w:pPr>
      <w:r w:rsidRPr="00202C1F">
        <w:rPr>
          <w:rFonts w:ascii="Arial Narrow" w:hAnsi="Arial Narrow" w:cs="Segoe UI"/>
          <w:color w:val="2F3941"/>
          <w:sz w:val="22"/>
          <w:szCs w:val="22"/>
        </w:rPr>
        <w:t>(5) Certain consumers in bankruptcy —</w:t>
      </w:r>
    </w:p>
    <w:p w14:paraId="5EB688ED" w14:textId="77777777" w:rsidR="00763A59" w:rsidRPr="00202C1F" w:rsidRDefault="00763A59" w:rsidP="00DB57A7">
      <w:pPr>
        <w:pStyle w:val="NormalWeb"/>
        <w:spacing w:before="120" w:beforeAutospacing="0" w:after="120" w:afterAutospacing="0" w:line="276" w:lineRule="auto"/>
        <w:ind w:firstLine="360"/>
        <w:textAlignment w:val="baseline"/>
        <w:rPr>
          <w:rFonts w:ascii="Arial Narrow" w:hAnsi="Arial Narrow" w:cs="Segoe UI"/>
          <w:color w:val="2F3941"/>
          <w:sz w:val="22"/>
          <w:szCs w:val="22"/>
        </w:rPr>
      </w:pPr>
      <w:r w:rsidRPr="00202C1F">
        <w:rPr>
          <w:rFonts w:ascii="Arial Narrow" w:hAnsi="Arial Narrow" w:cs="Segoe UI"/>
          <w:color w:val="2F3941"/>
          <w:sz w:val="22"/>
          <w:szCs w:val="22"/>
        </w:rPr>
        <w:t>(6) Charged-off loans."</w:t>
      </w:r>
    </w:p>
    <w:p w14:paraId="7C2562AB" w14:textId="29B7ABA5" w:rsidR="00763A59" w:rsidRPr="00202C1F" w:rsidRDefault="00DB57A7" w:rsidP="00A0760F">
      <w:pPr>
        <w:tabs>
          <w:tab w:val="num" w:pos="720"/>
        </w:tabs>
        <w:spacing w:before="120" w:after="120"/>
        <w:jc w:val="both"/>
        <w:rPr>
          <w:rFonts w:ascii="Arial Narrow" w:hAnsi="Arial Narrow" w:cs="Segoe UI"/>
          <w:color w:val="2F3941"/>
          <w:shd w:val="clear" w:color="auto" w:fill="FFFFFF"/>
        </w:rPr>
      </w:pPr>
      <w:r w:rsidRPr="00202C1F">
        <w:rPr>
          <w:rFonts w:ascii="Arial Narrow" w:hAnsi="Arial Narrow" w:cs="Segoe UI"/>
          <w:color w:val="2F3941"/>
          <w:shd w:val="clear" w:color="auto" w:fill="FFFFFF"/>
        </w:rPr>
        <w:tab/>
      </w:r>
      <w:r w:rsidR="00763A59" w:rsidRPr="00202C1F">
        <w:rPr>
          <w:rFonts w:ascii="Arial Narrow" w:hAnsi="Arial Narrow" w:cs="Segoe UI"/>
          <w:color w:val="2F3941"/>
          <w:shd w:val="clear" w:color="auto" w:fill="FFFFFF"/>
        </w:rPr>
        <w:t>12 CFR 1026.41(e)[In Summary] </w:t>
      </w:r>
    </w:p>
    <w:p w14:paraId="35B603A4" w14:textId="51A40733" w:rsidR="00763A59" w:rsidRPr="00202C1F" w:rsidRDefault="00DB57A7" w:rsidP="00A0760F">
      <w:pPr>
        <w:tabs>
          <w:tab w:val="num" w:pos="720"/>
        </w:tabs>
        <w:spacing w:before="120" w:after="120"/>
        <w:jc w:val="both"/>
        <w:rPr>
          <w:rFonts w:ascii="Arial Narrow" w:hAnsi="Arial Narrow" w:cs="Segoe UI"/>
          <w:color w:val="2F3941"/>
        </w:rPr>
      </w:pPr>
      <w:r w:rsidRPr="00202C1F">
        <w:rPr>
          <w:rFonts w:ascii="Arial Narrow" w:hAnsi="Arial Narrow" w:cs="Segoe UI"/>
          <w:shd w:val="clear" w:color="auto" w:fill="FFFFFF"/>
        </w:rPr>
        <w:tab/>
      </w:r>
      <w:hyperlink r:id="rId21" w:anchor="e" w:history="1">
        <w:r w:rsidRPr="00202C1F">
          <w:rPr>
            <w:rStyle w:val="Hyperlink"/>
            <w:rFonts w:ascii="Arial Narrow" w:hAnsi="Arial Narrow" w:cs="Segoe UI"/>
            <w:shd w:val="clear" w:color="auto" w:fill="FFFFFF"/>
          </w:rPr>
          <w:t>https://www.consumerfinance.gov/policy-compliance/rulemaking/regulations/1026/41/#e</w:t>
        </w:r>
      </w:hyperlink>
    </w:p>
    <w:p w14:paraId="472D8FDA" w14:textId="2F325334" w:rsidR="00763A59" w:rsidRPr="00202C1F" w:rsidRDefault="00763A59" w:rsidP="00DB57A7">
      <w:pPr>
        <w:spacing w:before="120" w:after="120"/>
        <w:ind w:left="360"/>
        <w:jc w:val="both"/>
        <w:rPr>
          <w:rFonts w:ascii="Arial Narrow" w:hAnsi="Arial Narrow" w:cs="Segoe UI"/>
          <w:color w:val="2F3941"/>
          <w:shd w:val="clear" w:color="auto" w:fill="FFFFFF"/>
        </w:rPr>
      </w:pPr>
      <w:r w:rsidRPr="00202C1F">
        <w:rPr>
          <w:rFonts w:ascii="Arial Narrow" w:hAnsi="Arial Narrow" w:cs="Segoe UI"/>
          <w:color w:val="2F3941"/>
          <w:shd w:val="clear" w:color="auto" w:fill="FFFFFF"/>
        </w:rPr>
        <w:t>"(iii) Small servicer determination. In determining whether a servicer satisfies paragraph (e)(4)(ii)(A) of this</w:t>
      </w:r>
      <w:r w:rsidR="00DB57A7" w:rsidRPr="00202C1F">
        <w:rPr>
          <w:rFonts w:ascii="Arial Narrow" w:hAnsi="Arial Narrow" w:cs="Segoe UI"/>
          <w:color w:val="2F3941"/>
          <w:shd w:val="clear" w:color="auto" w:fill="FFFFFF"/>
        </w:rPr>
        <w:t xml:space="preserve"> </w:t>
      </w:r>
      <w:r w:rsidRPr="00202C1F">
        <w:rPr>
          <w:rFonts w:ascii="Arial Narrow" w:hAnsi="Arial Narrow" w:cs="Segoe UI"/>
          <w:color w:val="2F3941"/>
          <w:shd w:val="clear" w:color="auto" w:fill="FFFFFF"/>
        </w:rPr>
        <w:t>section, the servicer is evaluated based on the mortgage loans serviced by the servicer and any affiliates as of January 1 and for the remainder of the calendar year...A servicer that ceases to qualify as a small servicer will have six months from the time it ceases to qualify or until the next January 1, whichever is later, to comply with any requirements from which the servicer is no longer exempt as a small servicer. </w:t>
      </w:r>
    </w:p>
    <w:p w14:paraId="0239067E" w14:textId="77777777" w:rsidR="00DB57A7" w:rsidRPr="00202C1F" w:rsidRDefault="00DB57A7" w:rsidP="00DB57A7">
      <w:pPr>
        <w:tabs>
          <w:tab w:val="num" w:pos="720"/>
        </w:tabs>
        <w:spacing w:before="120" w:after="120"/>
        <w:ind w:left="360"/>
        <w:jc w:val="both"/>
        <w:rPr>
          <w:rFonts w:ascii="Arial Narrow" w:hAnsi="Arial Narrow" w:cs="Segoe UI"/>
          <w:color w:val="2F3941"/>
          <w:shd w:val="clear" w:color="auto" w:fill="FFFFFF"/>
        </w:rPr>
      </w:pPr>
      <w:r w:rsidRPr="00202C1F">
        <w:rPr>
          <w:rFonts w:ascii="Arial Narrow" w:hAnsi="Arial Narrow" w:cs="Segoe UI"/>
          <w:color w:val="2F3941"/>
          <w:shd w:val="clear" w:color="auto" w:fill="FFFFFF"/>
        </w:rPr>
        <w:tab/>
      </w:r>
      <w:r w:rsidR="00763A59" w:rsidRPr="00202C1F">
        <w:rPr>
          <w:rFonts w:ascii="Arial Narrow" w:hAnsi="Arial Narrow" w:cs="Segoe UI"/>
          <w:color w:val="2F3941"/>
          <w:shd w:val="clear" w:color="auto" w:fill="FFFFFF"/>
        </w:rPr>
        <w:t>12 CFR 1026.41(e)(4)(iii) </w:t>
      </w:r>
    </w:p>
    <w:p w14:paraId="140B235C" w14:textId="2777CFCD" w:rsidR="00763A59" w:rsidRPr="00202C1F" w:rsidRDefault="005A75CC" w:rsidP="00DB57A7">
      <w:pPr>
        <w:tabs>
          <w:tab w:val="num" w:pos="720"/>
        </w:tabs>
        <w:spacing w:before="120" w:after="120"/>
        <w:ind w:left="360"/>
        <w:jc w:val="both"/>
        <w:rPr>
          <w:rFonts w:ascii="Arial Narrow" w:hAnsi="Arial Narrow" w:cs="Segoe UI"/>
          <w:color w:val="2F3941"/>
          <w:shd w:val="clear" w:color="auto" w:fill="FFFFFF"/>
        </w:rPr>
      </w:pPr>
      <w:hyperlink r:id="rId22" w:anchor="e-4-iii" w:history="1">
        <w:r w:rsidR="00DB57A7" w:rsidRPr="00202C1F">
          <w:rPr>
            <w:rStyle w:val="Hyperlink"/>
            <w:rFonts w:ascii="Arial Narrow" w:hAnsi="Arial Narrow" w:cs="Segoe UI"/>
            <w:shd w:val="clear" w:color="auto" w:fill="FFFFFF"/>
          </w:rPr>
          <w:t>https://www.consumerfinance.gov/policy-compliance/rulemaking/regulations/1026/41/#e-4-iii</w:t>
        </w:r>
      </w:hyperlink>
    </w:p>
    <w:p w14:paraId="59863E74" w14:textId="4BDFAC5E" w:rsidR="001554A1" w:rsidRPr="00202C1F" w:rsidRDefault="00763A59" w:rsidP="00A0760F">
      <w:pPr>
        <w:tabs>
          <w:tab w:val="num" w:pos="720"/>
        </w:tabs>
        <w:spacing w:before="120" w:after="120"/>
        <w:jc w:val="both"/>
        <w:rPr>
          <w:rFonts w:ascii="Arial Narrow" w:hAnsi="Arial Narrow" w:cs="Segoe UI"/>
          <w:color w:val="2F3941"/>
        </w:rPr>
      </w:pPr>
      <w:r w:rsidRPr="00202C1F">
        <w:rPr>
          <w:rFonts w:ascii="Arial Narrow" w:hAnsi="Arial Narrow" w:cs="Segoe UI"/>
          <w:color w:val="2F3941"/>
          <w:shd w:val="clear" w:color="auto" w:fill="FFFFFF"/>
        </w:rPr>
        <w:t xml:space="preserve">It is important to remember that banks also have the option to send the statements electronically if, as applicable, e-sign consent in place.  Circumstantially there may potentially be instances where not sending periodic statements would be acceptable and not criticized by the regulators, but the bank would have to evaluate </w:t>
      </w:r>
      <w:r w:rsidR="001554A1" w:rsidRPr="00202C1F">
        <w:rPr>
          <w:rFonts w:ascii="Arial Narrow" w:hAnsi="Arial Narrow" w:cs="Segoe UI"/>
          <w:color w:val="2F3941"/>
          <w:shd w:val="clear" w:color="auto" w:fill="FFFFFF"/>
        </w:rPr>
        <w:t>its</w:t>
      </w:r>
      <w:r w:rsidRPr="00202C1F">
        <w:rPr>
          <w:rFonts w:ascii="Arial Narrow" w:hAnsi="Arial Narrow" w:cs="Segoe UI"/>
          <w:color w:val="2F3941"/>
          <w:shd w:val="clear" w:color="auto" w:fill="FFFFFF"/>
        </w:rPr>
        <w:t xml:space="preserve"> own situation and </w:t>
      </w:r>
      <w:r w:rsidRPr="00202C1F">
        <w:rPr>
          <w:rFonts w:ascii="Arial Narrow" w:hAnsi="Arial Narrow" w:cs="Segoe UI"/>
          <w:color w:val="2F3941"/>
          <w:shd w:val="clear" w:color="auto" w:fill="FFFFFF"/>
        </w:rPr>
        <w:lastRenderedPageBreak/>
        <w:t xml:space="preserve">make the determination based on that.  </w:t>
      </w:r>
      <w:r w:rsidR="001554A1" w:rsidRPr="00202C1F">
        <w:rPr>
          <w:rFonts w:ascii="Arial Narrow" w:hAnsi="Arial Narrow" w:cs="Segoe UI"/>
          <w:color w:val="2F3941"/>
          <w:shd w:val="clear" w:color="auto" w:fill="FFFFFF"/>
        </w:rPr>
        <w:t>Documenting any lack of regulatory compliance</w:t>
      </w:r>
      <w:r w:rsidRPr="00202C1F">
        <w:rPr>
          <w:rFonts w:ascii="Arial Narrow" w:hAnsi="Arial Narrow" w:cs="Segoe UI"/>
          <w:color w:val="2F3941"/>
          <w:shd w:val="clear" w:color="auto" w:fill="FFFFFF"/>
        </w:rPr>
        <w:t xml:space="preserve"> </w:t>
      </w:r>
      <w:r w:rsidR="001554A1" w:rsidRPr="00202C1F">
        <w:rPr>
          <w:rFonts w:ascii="Arial Narrow" w:hAnsi="Arial Narrow" w:cs="Segoe UI"/>
          <w:color w:val="2F3941"/>
          <w:shd w:val="clear" w:color="auto" w:fill="FFFFFF"/>
        </w:rPr>
        <w:t>and the reasons</w:t>
      </w:r>
      <w:r w:rsidRPr="00202C1F">
        <w:rPr>
          <w:rFonts w:ascii="Arial Narrow" w:hAnsi="Arial Narrow" w:cs="Segoe UI"/>
          <w:color w:val="2F3941"/>
          <w:shd w:val="clear" w:color="auto" w:fill="FFFFFF"/>
        </w:rPr>
        <w:t xml:space="preserve"> </w:t>
      </w:r>
      <w:r w:rsidR="001554A1" w:rsidRPr="00202C1F">
        <w:rPr>
          <w:rFonts w:ascii="Arial Narrow" w:hAnsi="Arial Narrow" w:cs="Segoe UI"/>
          <w:color w:val="2F3941"/>
          <w:shd w:val="clear" w:color="auto" w:fill="FFFFFF"/>
        </w:rPr>
        <w:t>may mitigate in showing</w:t>
      </w:r>
      <w:r w:rsidRPr="00202C1F">
        <w:rPr>
          <w:rFonts w:ascii="Arial Narrow" w:hAnsi="Arial Narrow" w:cs="Segoe UI"/>
          <w:color w:val="2F3941"/>
          <w:shd w:val="clear" w:color="auto" w:fill="FFFFFF"/>
        </w:rPr>
        <w:t xml:space="preserve"> reasonable and prudent steps to</w:t>
      </w:r>
      <w:r w:rsidR="001554A1" w:rsidRPr="00202C1F">
        <w:rPr>
          <w:rFonts w:ascii="Arial Narrow" w:hAnsi="Arial Narrow" w:cs="Segoe UI"/>
          <w:color w:val="2F3941"/>
          <w:shd w:val="clear" w:color="auto" w:fill="FFFFFF"/>
        </w:rPr>
        <w:t xml:space="preserve"> </w:t>
      </w:r>
      <w:r w:rsidRPr="00202C1F">
        <w:rPr>
          <w:rFonts w:ascii="Arial Narrow" w:hAnsi="Arial Narrow" w:cs="Segoe UI"/>
          <w:color w:val="2F3941"/>
          <w:shd w:val="clear" w:color="auto" w:fill="FFFFFF"/>
        </w:rPr>
        <w:t>comply with the regulations.</w:t>
      </w:r>
    </w:p>
    <w:p w14:paraId="0A8C4881" w14:textId="3A6BB102" w:rsidR="001554A1" w:rsidRPr="00202C1F" w:rsidRDefault="00DB57A7" w:rsidP="00A0760F">
      <w:pPr>
        <w:tabs>
          <w:tab w:val="num" w:pos="720"/>
        </w:tabs>
        <w:spacing w:before="120" w:after="120"/>
        <w:rPr>
          <w:rFonts w:ascii="Arial Narrow" w:hAnsi="Arial Narrow" w:cs="Segoe UI"/>
          <w:color w:val="2F3941"/>
        </w:rPr>
      </w:pPr>
      <w:r w:rsidRPr="00202C1F">
        <w:rPr>
          <w:rFonts w:ascii="Arial Narrow" w:hAnsi="Arial Narrow" w:cs="Segoe UI"/>
          <w:color w:val="2F3941"/>
          <w:shd w:val="clear" w:color="auto" w:fill="FFFFFF"/>
        </w:rPr>
        <w:tab/>
      </w:r>
      <w:r w:rsidR="00763A59" w:rsidRPr="00202C1F">
        <w:rPr>
          <w:rFonts w:ascii="Arial Narrow" w:hAnsi="Arial Narrow" w:cs="Segoe UI"/>
          <w:color w:val="2F3941"/>
          <w:shd w:val="clear" w:color="auto" w:fill="FFFFFF"/>
        </w:rPr>
        <w:t>Reference:</w:t>
      </w:r>
    </w:p>
    <w:p w14:paraId="27B76F3E" w14:textId="1F65B966" w:rsidR="005F1A82" w:rsidRPr="003E6017" w:rsidRDefault="00763A59" w:rsidP="00A0760F">
      <w:pPr>
        <w:tabs>
          <w:tab w:val="num" w:pos="720"/>
        </w:tabs>
        <w:spacing w:before="120" w:after="120"/>
        <w:rPr>
          <w:rFonts w:ascii="Arial Narrow" w:hAnsi="Arial Narrow" w:cs="Segoe UI"/>
          <w:color w:val="2F3941"/>
        </w:rPr>
      </w:pPr>
      <w:r w:rsidRPr="00202C1F">
        <w:rPr>
          <w:rFonts w:ascii="Arial Narrow" w:hAnsi="Arial Narrow" w:cs="Segoe UI"/>
          <w:color w:val="2F3941"/>
          <w:shd w:val="clear" w:color="auto" w:fill="FFFFFF"/>
        </w:rPr>
        <w:t>FDIC</w:t>
      </w:r>
      <w:r w:rsidR="001554A1" w:rsidRPr="00202C1F">
        <w:rPr>
          <w:rFonts w:ascii="Arial Narrow" w:hAnsi="Arial Narrow" w:cs="Segoe UI"/>
          <w:color w:val="2F3941"/>
          <w:shd w:val="clear" w:color="auto" w:fill="FFFFFF"/>
        </w:rPr>
        <w:t xml:space="preserve"> </w:t>
      </w:r>
      <w:r w:rsidRPr="00202C1F">
        <w:rPr>
          <w:rFonts w:ascii="Arial Narrow" w:hAnsi="Arial Narrow" w:cs="Segoe UI"/>
          <w:color w:val="2F3941"/>
          <w:shd w:val="clear" w:color="auto" w:fill="FFFFFF"/>
        </w:rPr>
        <w:t>Guidance: </w:t>
      </w:r>
      <w:hyperlink r:id="rId23" w:history="1">
        <w:r w:rsidRPr="00202C1F">
          <w:rPr>
            <w:rStyle w:val="Hyperlink"/>
            <w:rFonts w:ascii="Arial Narrow" w:hAnsi="Arial Narrow" w:cs="Segoe UI"/>
            <w:color w:val="1F73B7"/>
            <w:shd w:val="clear" w:color="auto" w:fill="FFFFFF"/>
          </w:rPr>
          <w:t>https://www.fdic.gov/news/news/financial/2020/fil20017a.pdf?utm_campaign=NEWSBYTES-20200316&amp;utm_medium=email&amp;utm_source=Eloqua%C2%A0</w:t>
        </w:r>
      </w:hyperlink>
      <w:r w:rsidRPr="00202C1F">
        <w:rPr>
          <w:rFonts w:ascii="Arial Narrow" w:hAnsi="Arial Narrow" w:cs="Segoe UI"/>
          <w:color w:val="2F3941"/>
        </w:rPr>
        <w:br/>
      </w:r>
      <w:r w:rsidRPr="00202C1F">
        <w:rPr>
          <w:rFonts w:ascii="Arial Narrow" w:hAnsi="Arial Narrow" w:cs="Segoe UI"/>
          <w:color w:val="2F3941"/>
        </w:rPr>
        <w:br/>
      </w:r>
      <w:r w:rsidRPr="00202C1F">
        <w:rPr>
          <w:rFonts w:ascii="Arial Narrow" w:hAnsi="Arial Narrow" w:cs="Segoe UI"/>
          <w:color w:val="2F3941"/>
          <w:shd w:val="clear" w:color="auto" w:fill="FFFFFF"/>
        </w:rPr>
        <w:t>Interagency</w:t>
      </w:r>
      <w:r w:rsidR="001554A1" w:rsidRPr="00202C1F">
        <w:rPr>
          <w:rFonts w:ascii="Arial Narrow" w:hAnsi="Arial Narrow" w:cs="Segoe UI"/>
          <w:color w:val="2F3941"/>
          <w:shd w:val="clear" w:color="auto" w:fill="FFFFFF"/>
        </w:rPr>
        <w:t xml:space="preserve"> </w:t>
      </w:r>
      <w:r w:rsidRPr="00202C1F">
        <w:rPr>
          <w:rFonts w:ascii="Arial Narrow" w:hAnsi="Arial Narrow" w:cs="Segoe UI"/>
          <w:color w:val="2F3941"/>
          <w:shd w:val="clear" w:color="auto" w:fill="FFFFFF"/>
        </w:rPr>
        <w:t>Guidance: </w:t>
      </w:r>
      <w:hyperlink r:id="rId24" w:history="1">
        <w:r w:rsidRPr="003E6017">
          <w:rPr>
            <w:rStyle w:val="Hyperlink"/>
            <w:rFonts w:ascii="Arial Narrow" w:hAnsi="Arial Narrow" w:cs="Segoe UI"/>
            <w:color w:val="1F73B7"/>
            <w:shd w:val="clear" w:color="auto" w:fill="FFFFFF"/>
          </w:rPr>
          <w:t>https://www.fdic.gov/news/news/press/2020/pr20038a.pdf</w:t>
        </w:r>
      </w:hyperlink>
      <w:r w:rsidRPr="003E6017">
        <w:rPr>
          <w:rFonts w:ascii="Arial Narrow" w:hAnsi="Arial Narrow" w:cs="Segoe UI"/>
          <w:color w:val="2F3941"/>
        </w:rPr>
        <w:br/>
      </w:r>
      <w:r w:rsidRPr="003E6017">
        <w:rPr>
          <w:rFonts w:ascii="Arial Narrow" w:hAnsi="Arial Narrow" w:cs="Segoe UI"/>
          <w:color w:val="2F3941"/>
          <w:shd w:val="clear" w:color="auto" w:fill="FFFFFF"/>
        </w:rPr>
        <w:t>Pandemic Resources: </w:t>
      </w:r>
      <w:hyperlink r:id="rId25" w:history="1">
        <w:r w:rsidRPr="003E6017">
          <w:rPr>
            <w:rStyle w:val="Hyperlink"/>
            <w:rFonts w:ascii="Arial Narrow" w:hAnsi="Arial Narrow" w:cs="Segoe UI"/>
            <w:color w:val="1F73B7"/>
            <w:shd w:val="clear" w:color="auto" w:fill="FFFFFF"/>
          </w:rPr>
          <w:t>https://compliancealliance.com/pandemic-resources</w:t>
        </w:r>
      </w:hyperlink>
    </w:p>
    <w:p w14:paraId="5B6D7928" w14:textId="73CD1490" w:rsidR="00816065" w:rsidRPr="003E6017" w:rsidRDefault="00816065" w:rsidP="00A0760F">
      <w:pPr>
        <w:numPr>
          <w:ilvl w:val="0"/>
          <w:numId w:val="29"/>
        </w:numPr>
        <w:spacing w:before="120" w:after="120"/>
        <w:jc w:val="both"/>
        <w:rPr>
          <w:rFonts w:ascii="Arial Narrow" w:hAnsi="Arial Narrow" w:cs="Arial"/>
          <w:b/>
          <w:bCs/>
          <w:color w:val="000000"/>
        </w:rPr>
      </w:pPr>
      <w:r w:rsidRPr="003E6017">
        <w:rPr>
          <w:rFonts w:ascii="Arial Narrow" w:hAnsi="Arial Narrow" w:cs="Arial"/>
          <w:b/>
          <w:bCs/>
          <w:color w:val="000000"/>
        </w:rPr>
        <w:t>How are banks handling flood requirements on deferrals?</w:t>
      </w:r>
    </w:p>
    <w:p w14:paraId="1D9AD90B" w14:textId="1EB0F840" w:rsidR="00816065" w:rsidRPr="00202C1F" w:rsidRDefault="001554A1" w:rsidP="00A0760F">
      <w:pPr>
        <w:spacing w:before="120" w:after="120"/>
        <w:jc w:val="both"/>
        <w:rPr>
          <w:rFonts w:ascii="Arial Narrow" w:hAnsi="Arial Narrow"/>
        </w:rPr>
      </w:pPr>
      <w:r w:rsidRPr="003E6017">
        <w:rPr>
          <w:rFonts w:ascii="Arial Narrow" w:hAnsi="Arial Narrow" w:cs="Arial"/>
          <w:color w:val="000000"/>
        </w:rPr>
        <w:t>It ultimately depends on how the bank is structuring each particular deferral. If a MIRE event is occurring (making, increasing, renewing or extending of a loan</w:t>
      </w:r>
      <w:r w:rsidRPr="00202C1F">
        <w:rPr>
          <w:rFonts w:ascii="Arial Narrow" w:hAnsi="Arial Narrow" w:cs="Arial"/>
          <w:color w:val="000000"/>
        </w:rPr>
        <w:t xml:space="preserve">), it would trigger flood requirements: </w:t>
      </w:r>
      <w:hyperlink r:id="rId26" w:tgtFrame="_blank" w:history="1">
        <w:r w:rsidRPr="00202C1F">
          <w:rPr>
            <w:rStyle w:val="Hyperlink"/>
            <w:rFonts w:ascii="Arial Narrow" w:hAnsi="Arial Narrow" w:cs="Segoe UI"/>
            <w:color w:val="144A75"/>
            <w:shd w:val="clear" w:color="auto" w:fill="FFFFFF"/>
          </w:rPr>
          <w:t>https://www.ecfr.gov/cgi-bin/text-idx?SID=063c80511ea1ede41accf79ee3bf3cef&amp;mc=true&amp;node=se12.5.339_13&amp;rgn=div8</w:t>
        </w:r>
      </w:hyperlink>
      <w:r w:rsidRPr="00202C1F">
        <w:rPr>
          <w:rFonts w:ascii="Arial Narrow" w:hAnsi="Arial Narrow"/>
        </w:rPr>
        <w:t xml:space="preserve">.  So, for example, extending the maturity date with regard to the payment deferral would constitute a MIRE event triggering flood. </w:t>
      </w:r>
    </w:p>
    <w:p w14:paraId="063070AB" w14:textId="4743F999" w:rsidR="00816065" w:rsidRPr="00202C1F" w:rsidRDefault="001554A1" w:rsidP="00A0760F">
      <w:pPr>
        <w:spacing w:before="120" w:after="120"/>
        <w:jc w:val="both"/>
        <w:rPr>
          <w:rFonts w:ascii="Arial Narrow" w:hAnsi="Arial Narrow"/>
        </w:rPr>
      </w:pPr>
      <w:r w:rsidRPr="00202C1F">
        <w:rPr>
          <w:rFonts w:ascii="Arial Narrow" w:hAnsi="Arial Narrow"/>
        </w:rPr>
        <w:t xml:space="preserve">However, if there is no MIRE event as a result of the deferral, flood may not be required. It is important to remember that there has not been any official guidance on MIRE events in relation to COVID-19 specific deferrals as of yet. </w:t>
      </w:r>
    </w:p>
    <w:p w14:paraId="0DA67F33" w14:textId="41E75210" w:rsidR="001554A1" w:rsidRPr="00202C1F" w:rsidRDefault="001554A1" w:rsidP="00A0760F">
      <w:pPr>
        <w:spacing w:before="120" w:after="120"/>
        <w:jc w:val="both"/>
        <w:rPr>
          <w:rFonts w:ascii="Arial Narrow" w:hAnsi="Arial Narrow" w:cs="Segoe UI"/>
          <w:color w:val="2F3941"/>
        </w:rPr>
      </w:pPr>
      <w:r w:rsidRPr="00202C1F">
        <w:rPr>
          <w:rFonts w:ascii="Arial Narrow" w:hAnsi="Arial Narrow" w:cs="Segoe UI"/>
          <w:color w:val="2F3941"/>
          <w:shd w:val="clear" w:color="auto" w:fill="FFFFFF"/>
        </w:rPr>
        <w:t>As for determinations, in general, a new determination is required for any MIRE event</w:t>
      </w:r>
      <w:r w:rsidR="003B128E" w:rsidRPr="00202C1F">
        <w:rPr>
          <w:rFonts w:ascii="Arial Narrow" w:hAnsi="Arial Narrow" w:cs="Segoe UI"/>
          <w:color w:val="2F3941"/>
          <w:shd w:val="clear" w:color="auto" w:fill="FFFFFF"/>
        </w:rPr>
        <w:t>, but</w:t>
      </w:r>
      <w:r w:rsidRPr="00202C1F">
        <w:rPr>
          <w:rFonts w:ascii="Arial Narrow" w:hAnsi="Arial Narrow" w:cs="Segoe UI"/>
          <w:color w:val="2F3941"/>
          <w:shd w:val="clear" w:color="auto" w:fill="FFFFFF"/>
        </w:rPr>
        <w:t xml:space="preserve"> there is an allowance to "reuse" an existing determination if the following conditions are met:</w:t>
      </w:r>
    </w:p>
    <w:p w14:paraId="08214A77" w14:textId="33E7FFAB" w:rsidR="001554A1" w:rsidRPr="00202C1F" w:rsidRDefault="001554A1" w:rsidP="00A0760F">
      <w:pPr>
        <w:pStyle w:val="ListParagraph"/>
        <w:numPr>
          <w:ilvl w:val="0"/>
          <w:numId w:val="37"/>
        </w:numPr>
        <w:spacing w:before="120" w:after="120"/>
        <w:jc w:val="both"/>
        <w:rPr>
          <w:rFonts w:ascii="Arial Narrow" w:hAnsi="Arial Narrow" w:cs="Segoe UI"/>
          <w:color w:val="2F3941"/>
        </w:rPr>
      </w:pPr>
      <w:r w:rsidRPr="00202C1F">
        <w:rPr>
          <w:rFonts w:ascii="Arial Narrow" w:hAnsi="Arial Narrow" w:cs="Segoe UI"/>
          <w:color w:val="2F3941"/>
          <w:shd w:val="clear" w:color="auto" w:fill="FFFFFF"/>
        </w:rPr>
        <w:t>The previous determination is not more than</w:t>
      </w:r>
      <w:r w:rsidRPr="00202C1F">
        <w:rPr>
          <w:rFonts w:ascii="Arial Narrow" w:hAnsi="Arial Narrow" w:cs="Segoe UI"/>
          <w:color w:val="2F3941"/>
        </w:rPr>
        <w:t xml:space="preserve"> </w:t>
      </w:r>
      <w:r w:rsidRPr="00202C1F">
        <w:rPr>
          <w:rFonts w:ascii="Arial Narrow" w:hAnsi="Arial Narrow" w:cs="Segoe UI"/>
          <w:color w:val="2F3941"/>
          <w:shd w:val="clear" w:color="auto" w:fill="FFFFFF"/>
        </w:rPr>
        <w:t>seven years old.</w:t>
      </w:r>
    </w:p>
    <w:p w14:paraId="7E07C28E" w14:textId="77777777" w:rsidR="001554A1" w:rsidRPr="00202C1F" w:rsidRDefault="001554A1" w:rsidP="00A0760F">
      <w:pPr>
        <w:pStyle w:val="ListParagraph"/>
        <w:numPr>
          <w:ilvl w:val="0"/>
          <w:numId w:val="37"/>
        </w:numPr>
        <w:spacing w:before="120" w:after="120"/>
        <w:jc w:val="both"/>
        <w:rPr>
          <w:rFonts w:ascii="Arial Narrow" w:hAnsi="Arial Narrow" w:cs="Segoe UI"/>
          <w:color w:val="2F3941"/>
        </w:rPr>
      </w:pPr>
      <w:r w:rsidRPr="00202C1F">
        <w:rPr>
          <w:rFonts w:ascii="Arial Narrow" w:hAnsi="Arial Narrow" w:cs="Segoe UI"/>
          <w:color w:val="2F3941"/>
          <w:shd w:val="clear" w:color="auto" w:fill="FFFFFF"/>
        </w:rPr>
        <w:t>The determination was recorded on the SFHDF.</w:t>
      </w:r>
    </w:p>
    <w:p w14:paraId="09AC7242" w14:textId="77777777" w:rsidR="001554A1" w:rsidRPr="00202C1F" w:rsidRDefault="001554A1" w:rsidP="00A0760F">
      <w:pPr>
        <w:pStyle w:val="ListParagraph"/>
        <w:numPr>
          <w:ilvl w:val="0"/>
          <w:numId w:val="37"/>
        </w:numPr>
        <w:spacing w:before="120" w:after="120"/>
        <w:jc w:val="both"/>
        <w:rPr>
          <w:rFonts w:ascii="Arial Narrow" w:hAnsi="Arial Narrow" w:cs="Segoe UI"/>
          <w:color w:val="2F3941"/>
        </w:rPr>
      </w:pPr>
      <w:r w:rsidRPr="00202C1F">
        <w:rPr>
          <w:rFonts w:ascii="Arial Narrow" w:hAnsi="Arial Narrow" w:cs="Segoe UI"/>
          <w:color w:val="2F3941"/>
          <w:shd w:val="clear" w:color="auto" w:fill="FFFFFF"/>
        </w:rPr>
        <w:t>There have been no map revisions or updates since then.</w:t>
      </w:r>
    </w:p>
    <w:p w14:paraId="405689C3" w14:textId="77777777" w:rsidR="001554A1" w:rsidRPr="00202C1F" w:rsidRDefault="001554A1" w:rsidP="00A0760F">
      <w:pPr>
        <w:pStyle w:val="ListParagraph"/>
        <w:numPr>
          <w:ilvl w:val="0"/>
          <w:numId w:val="37"/>
        </w:numPr>
        <w:spacing w:before="120" w:after="120"/>
        <w:jc w:val="both"/>
        <w:rPr>
          <w:rFonts w:ascii="Arial Narrow" w:hAnsi="Arial Narrow" w:cs="Segoe UI"/>
          <w:color w:val="2F3941"/>
        </w:rPr>
      </w:pPr>
      <w:r w:rsidRPr="00202C1F">
        <w:rPr>
          <w:rFonts w:ascii="Arial Narrow" w:hAnsi="Arial Narrow" w:cs="Segoe UI"/>
          <w:color w:val="2F3941"/>
          <w:shd w:val="clear" w:color="auto" w:fill="FFFFFF"/>
        </w:rPr>
        <w:t>Done by the same lender.</w:t>
      </w:r>
    </w:p>
    <w:p w14:paraId="6B30576B" w14:textId="77777777" w:rsidR="003B128E" w:rsidRPr="00202C1F" w:rsidRDefault="003B128E" w:rsidP="00A0760F">
      <w:pPr>
        <w:spacing w:before="120" w:after="120"/>
        <w:jc w:val="both"/>
        <w:rPr>
          <w:rFonts w:ascii="Arial Narrow" w:hAnsi="Arial Narrow" w:cs="Segoe UI"/>
          <w:color w:val="2F3941"/>
        </w:rPr>
      </w:pPr>
      <w:r w:rsidRPr="00202C1F">
        <w:rPr>
          <w:rFonts w:ascii="Arial Narrow" w:hAnsi="Arial Narrow" w:cs="Segoe UI"/>
          <w:color w:val="2F3941"/>
          <w:shd w:val="clear" w:color="auto" w:fill="FFFFFF"/>
        </w:rPr>
        <w:t>Reference</w:t>
      </w:r>
      <w:r w:rsidR="001554A1" w:rsidRPr="00202C1F">
        <w:rPr>
          <w:rFonts w:ascii="Arial Narrow" w:hAnsi="Arial Narrow" w:cs="Segoe UI"/>
          <w:color w:val="2F3941"/>
          <w:shd w:val="clear" w:color="auto" w:fill="FFFFFF"/>
        </w:rPr>
        <w:t>:</w:t>
      </w:r>
    </w:p>
    <w:p w14:paraId="6F909469" w14:textId="76245727" w:rsidR="003B128E" w:rsidRPr="00202C1F" w:rsidRDefault="001554A1" w:rsidP="00A0760F">
      <w:pPr>
        <w:spacing w:before="120" w:after="120"/>
        <w:ind w:firstLine="720"/>
        <w:jc w:val="both"/>
        <w:rPr>
          <w:rFonts w:ascii="Arial Narrow" w:hAnsi="Arial Narrow" w:cs="Segoe UI"/>
          <w:color w:val="2F3941"/>
        </w:rPr>
      </w:pPr>
      <w:r w:rsidRPr="00202C1F">
        <w:rPr>
          <w:rFonts w:ascii="Arial Narrow" w:hAnsi="Arial Narrow" w:cs="Segoe UI"/>
          <w:b/>
          <w:bCs/>
          <w:i/>
          <w:iCs/>
          <w:color w:val="2F3941"/>
          <w:bdr w:val="none" w:sz="0" w:space="0" w:color="auto" w:frame="1"/>
        </w:rPr>
        <w:t>(e) Reliance on previous determination</w:t>
      </w:r>
      <w:r w:rsidRPr="00202C1F">
        <w:rPr>
          <w:rFonts w:ascii="Arial Narrow" w:hAnsi="Arial Narrow" w:cs="Segoe UI"/>
          <w:color w:val="2F3941"/>
        </w:rPr>
        <w:t xml:space="preserve"> </w:t>
      </w:r>
    </w:p>
    <w:p w14:paraId="6A82CB7C" w14:textId="46CBA023" w:rsidR="00816065" w:rsidRPr="00202C1F" w:rsidRDefault="001554A1" w:rsidP="00A0760F">
      <w:pPr>
        <w:spacing w:before="120" w:after="120"/>
        <w:ind w:left="720"/>
        <w:jc w:val="both"/>
        <w:rPr>
          <w:rFonts w:ascii="Arial Narrow" w:hAnsi="Arial Narrow"/>
        </w:rPr>
      </w:pPr>
      <w:r w:rsidRPr="00202C1F">
        <w:rPr>
          <w:rFonts w:ascii="Arial Narrow" w:hAnsi="Arial Narrow" w:cs="Segoe UI"/>
          <w:i/>
          <w:iCs/>
          <w:color w:val="2F3941"/>
          <w:bdr w:val="none" w:sz="0" w:space="0" w:color="auto" w:frame="1"/>
          <w:shd w:val="clear" w:color="auto" w:fill="FFFFFF"/>
        </w:rPr>
        <w:t>Any person increasing, extending, renewing, or purchasing a loan secured by improved real estate or a mobile home may rely on a previous determination of whether the building or mobile home is located in an area having special flood hazards (and shall not be liable for any error in such previous determination),</w:t>
      </w:r>
      <w:r w:rsidRPr="00202C1F">
        <w:rPr>
          <w:rFonts w:ascii="Arial Narrow" w:hAnsi="Arial Narrow" w:cs="Segoe UI"/>
          <w:b/>
          <w:bCs/>
          <w:i/>
          <w:iCs/>
          <w:color w:val="2F3941"/>
          <w:bdr w:val="none" w:sz="0" w:space="0" w:color="auto" w:frame="1"/>
        </w:rPr>
        <w:t> if the previous determination was made not more than 7 years before the date of the transaction</w:t>
      </w:r>
      <w:r w:rsidRPr="00202C1F">
        <w:rPr>
          <w:rFonts w:ascii="Arial Narrow" w:hAnsi="Arial Narrow" w:cs="Segoe UI"/>
          <w:i/>
          <w:iCs/>
          <w:color w:val="2F3941"/>
          <w:bdr w:val="none" w:sz="0" w:space="0" w:color="auto" w:frame="1"/>
          <w:shd w:val="clear" w:color="auto" w:fill="FFFFFF"/>
        </w:rPr>
        <w:t> and the basis for the previous determination has been set forth on a form under this section, unless-</w:t>
      </w:r>
      <w:r w:rsidRPr="00202C1F">
        <w:rPr>
          <w:rFonts w:ascii="Arial Narrow" w:hAnsi="Arial Narrow" w:cs="Segoe UI"/>
          <w:color w:val="2F3941"/>
        </w:rPr>
        <w:br/>
      </w:r>
      <w:r w:rsidRPr="00202C1F">
        <w:rPr>
          <w:rFonts w:ascii="Arial Narrow" w:hAnsi="Arial Narrow" w:cs="Segoe UI"/>
          <w:i/>
          <w:iCs/>
          <w:color w:val="2F3941"/>
          <w:bdr w:val="none" w:sz="0" w:space="0" w:color="auto" w:frame="1"/>
          <w:shd w:val="clear" w:color="auto" w:fill="FFFFFF"/>
        </w:rPr>
        <w:t>(1) map revisions or updates pursuant to section 4101(f) of this title after such previous determination have resulted in the building or mobile home being located in an area having special flood hazards; or</w:t>
      </w:r>
      <w:r w:rsidRPr="00202C1F">
        <w:rPr>
          <w:rFonts w:ascii="Arial Narrow" w:hAnsi="Arial Narrow" w:cs="Segoe UI"/>
          <w:color w:val="2F3941"/>
        </w:rPr>
        <w:br/>
      </w:r>
      <w:r w:rsidRPr="00202C1F">
        <w:rPr>
          <w:rFonts w:ascii="Arial Narrow" w:hAnsi="Arial Narrow" w:cs="Segoe UI"/>
          <w:i/>
          <w:iCs/>
          <w:color w:val="2F3941"/>
          <w:bdr w:val="none" w:sz="0" w:space="0" w:color="auto" w:frame="1"/>
          <w:shd w:val="clear" w:color="auto" w:fill="FFFFFF"/>
        </w:rPr>
        <w:t>(2) the person contacts the Administrator to determine when the most recent map revisions or updates affecting such property occurred and such revisions and updates have occurred after such previous determination.</w:t>
      </w:r>
      <w:r w:rsidR="003B128E" w:rsidRPr="00202C1F">
        <w:rPr>
          <w:rFonts w:ascii="Arial Narrow" w:hAnsi="Arial Narrow" w:cs="Segoe UI"/>
          <w:i/>
          <w:iCs/>
          <w:color w:val="2F3941"/>
          <w:bdr w:val="none" w:sz="0" w:space="0" w:color="auto" w:frame="1"/>
          <w:shd w:val="clear" w:color="auto" w:fill="FFFFFF"/>
        </w:rPr>
        <w:t xml:space="preserve"> </w:t>
      </w:r>
      <w:r w:rsidRPr="00202C1F">
        <w:rPr>
          <w:rFonts w:ascii="Arial Narrow" w:hAnsi="Arial Narrow" w:cs="Segoe UI"/>
          <w:color w:val="2F3941"/>
        </w:rPr>
        <w:br/>
      </w:r>
      <w:hyperlink r:id="rId27" w:history="1">
        <w:r w:rsidRPr="00202C1F">
          <w:rPr>
            <w:rStyle w:val="Hyperlink"/>
            <w:rFonts w:ascii="Arial Narrow" w:hAnsi="Arial Narrow" w:cs="Segoe UI"/>
            <w:color w:val="1F73B7"/>
            <w:shd w:val="clear" w:color="auto" w:fill="FFFFFF"/>
          </w:rPr>
          <w:t>https://uscode.house.gov/view.xhtml?req=(title:42%20section:4104b%20edition:prelim)%20OR%20(granuleid:USC-prelim-title42-secion4104b&amp;f=treesort&amp;edition=prelin&amp;num=0&amp;jumpTo=true</w:t>
        </w:r>
      </w:hyperlink>
    </w:p>
    <w:p w14:paraId="2C5E89F3" w14:textId="1C0B2B9B" w:rsidR="003B128E" w:rsidRPr="00202C1F" w:rsidRDefault="003B128E" w:rsidP="00A0760F">
      <w:pPr>
        <w:spacing w:before="120" w:after="120"/>
        <w:jc w:val="both"/>
        <w:rPr>
          <w:rFonts w:ascii="Arial Narrow" w:hAnsi="Arial Narrow" w:cs="Segoe UI"/>
          <w:color w:val="2F3941"/>
          <w:bdr w:val="none" w:sz="0" w:space="0" w:color="auto" w:frame="1"/>
          <w:shd w:val="clear" w:color="auto" w:fill="FFFFFF"/>
        </w:rPr>
      </w:pPr>
      <w:r w:rsidRPr="00202C1F">
        <w:rPr>
          <w:rFonts w:ascii="Arial Narrow" w:hAnsi="Arial Narrow" w:cs="Segoe UI"/>
          <w:color w:val="2F3941"/>
          <w:bdr w:val="none" w:sz="0" w:space="0" w:color="auto" w:frame="1"/>
          <w:shd w:val="clear" w:color="auto" w:fill="FFFFFF"/>
        </w:rPr>
        <w:t xml:space="preserve">It is also important to note that FEMA has extended the grace period to renew flood insurance policies from 30 to 120 days.  This extension applies to NFIP flood insurance policies with an expiration date between February 13-June 15, 2020. To avoid a lapse in coverage, there is typically a 30-day grace period to renew policies.  However, due to the widespread economic disruption arising from the pandemic, FEMA recognizes that flood insurance policyholders may </w:t>
      </w:r>
      <w:r w:rsidRPr="00202C1F">
        <w:rPr>
          <w:rFonts w:ascii="Arial Narrow" w:hAnsi="Arial Narrow" w:cs="Segoe UI"/>
          <w:color w:val="2F3941"/>
          <w:bdr w:val="none" w:sz="0" w:space="0" w:color="auto" w:frame="1"/>
          <w:shd w:val="clear" w:color="auto" w:fill="FFFFFF"/>
        </w:rPr>
        <w:lastRenderedPageBreak/>
        <w:t>not meet the standard policy renewal deadline. However, there has been no additional guidance that the extension of the grace period has altered the timing requirements for forced placed flood insurance or any other parts of the regulation, so banks should be following their normal force placement procedures.</w:t>
      </w:r>
    </w:p>
    <w:p w14:paraId="63F75EFE" w14:textId="77777777" w:rsidR="003B128E" w:rsidRPr="00202C1F" w:rsidRDefault="003B128E" w:rsidP="00A0760F">
      <w:pPr>
        <w:spacing w:before="120" w:after="120"/>
        <w:jc w:val="both"/>
        <w:rPr>
          <w:rFonts w:ascii="Arial Narrow" w:hAnsi="Arial Narrow" w:cs="Segoe UI"/>
          <w:color w:val="2F3941"/>
        </w:rPr>
      </w:pPr>
      <w:r w:rsidRPr="00202C1F">
        <w:rPr>
          <w:rFonts w:ascii="Arial Narrow" w:hAnsi="Arial Narrow" w:cs="Segoe UI"/>
          <w:color w:val="2F3941"/>
          <w:shd w:val="clear" w:color="auto" w:fill="FFFFFF"/>
        </w:rPr>
        <w:t>C/A also wants to point out the following from the most recent final rule: </w:t>
      </w:r>
    </w:p>
    <w:p w14:paraId="423D5A45" w14:textId="77777777" w:rsidR="003B128E" w:rsidRPr="00202C1F" w:rsidRDefault="003B128E" w:rsidP="00A0760F">
      <w:pPr>
        <w:spacing w:before="120" w:after="120"/>
        <w:ind w:left="360"/>
        <w:jc w:val="both"/>
        <w:rPr>
          <w:rFonts w:ascii="Arial Narrow" w:hAnsi="Arial Narrow" w:cs="Segoe UI"/>
          <w:color w:val="2F3941"/>
        </w:rPr>
      </w:pPr>
      <w:r w:rsidRPr="00202C1F">
        <w:rPr>
          <w:rFonts w:ascii="Arial Narrow" w:hAnsi="Arial Narrow" w:cs="Segoe UI"/>
          <w:color w:val="2F3941"/>
          <w:shd w:val="clear" w:color="auto" w:fill="FFFFFF"/>
        </w:rPr>
        <w:t>"The Agencies understand that flood insurance policies under the NFIP will often provide policyholders with a “grace period” of typically 30 days following the expiration date to pay the renewal premiums and fees to restore the policy and ensure continuous coverage. However, the Agencies also understand that any flood insurance coverage provided by the NFIP policy during the grace period would cover only the lender's interest. The borrower's interest would be covered during the grace period only if the borrower pays the renewal premium within the grace period.[62] Because there may be a lack of continuous flood coverage protecting the borrower's interest during this “grace period,” the Agencies consider the policy to have lapsed as of the expiration date provided by the policy."</w:t>
      </w:r>
      <w:r w:rsidRPr="00202C1F">
        <w:rPr>
          <w:rFonts w:ascii="Arial Narrow" w:hAnsi="Arial Narrow" w:cs="Segoe UI"/>
          <w:color w:val="2F3941"/>
        </w:rPr>
        <w:t xml:space="preserve"> </w:t>
      </w:r>
    </w:p>
    <w:p w14:paraId="142D02B1" w14:textId="77777777" w:rsidR="003B128E" w:rsidRPr="00202C1F" w:rsidRDefault="005A75CC" w:rsidP="00A0760F">
      <w:pPr>
        <w:spacing w:before="120" w:after="120"/>
        <w:ind w:left="360"/>
        <w:jc w:val="both"/>
        <w:rPr>
          <w:rFonts w:ascii="Arial Narrow" w:hAnsi="Arial Narrow" w:cs="Segoe UI"/>
          <w:color w:val="2F3941"/>
        </w:rPr>
      </w:pPr>
      <w:hyperlink r:id="rId28" w:history="1">
        <w:r w:rsidR="003B128E" w:rsidRPr="00202C1F">
          <w:rPr>
            <w:rStyle w:val="Hyperlink"/>
            <w:rFonts w:ascii="Arial Narrow" w:hAnsi="Arial Narrow" w:cs="Segoe UI"/>
            <w:shd w:val="clear" w:color="auto" w:fill="FFFFFF"/>
          </w:rPr>
          <w:t>https://www.federalregister.gov/d/2015-15956/p-193</w:t>
        </w:r>
      </w:hyperlink>
    </w:p>
    <w:p w14:paraId="0CCB266D" w14:textId="5E9A8715" w:rsidR="00816065" w:rsidRPr="00202C1F" w:rsidRDefault="003B128E" w:rsidP="00A0760F">
      <w:pPr>
        <w:spacing w:before="120" w:after="120"/>
        <w:jc w:val="both"/>
        <w:rPr>
          <w:rFonts w:ascii="Arial Narrow" w:hAnsi="Arial Narrow" w:cs="Segoe UI"/>
          <w:color w:val="2F3941"/>
          <w:shd w:val="clear" w:color="auto" w:fill="FFFFFF"/>
        </w:rPr>
      </w:pPr>
      <w:r w:rsidRPr="00202C1F">
        <w:rPr>
          <w:rFonts w:ascii="Arial Narrow" w:hAnsi="Arial Narrow" w:cs="Segoe UI"/>
          <w:color w:val="2F3941"/>
          <w:shd w:val="clear" w:color="auto" w:fill="FFFFFF"/>
        </w:rPr>
        <w:t>So, this essentially indicates that grace period should not be taken into account for this purpose, which seems to conflict with the recent guidance. C/A are also hoping that FEMA clarifies this point very soon since it's hard to see how this change would benefit borrowers if the grace period should not be considered for force placement purposes. </w:t>
      </w:r>
    </w:p>
    <w:p w14:paraId="01076215" w14:textId="77777777" w:rsidR="00202C1F" w:rsidRDefault="00BD4CD2" w:rsidP="00A0760F">
      <w:pPr>
        <w:spacing w:before="120" w:after="120"/>
        <w:jc w:val="both"/>
        <w:rPr>
          <w:rFonts w:ascii="Arial Narrow" w:hAnsi="Arial Narrow" w:cs="Segoe UI"/>
          <w:color w:val="2F3941"/>
          <w:shd w:val="clear" w:color="auto" w:fill="FFFFFF"/>
        </w:rPr>
      </w:pPr>
      <w:r w:rsidRPr="00202C1F">
        <w:rPr>
          <w:rFonts w:ascii="Arial Narrow" w:hAnsi="Arial Narrow" w:cs="Segoe UI"/>
          <w:color w:val="2F3941"/>
          <w:shd w:val="clear" w:color="auto" w:fill="FFFFFF"/>
        </w:rPr>
        <w:t xml:space="preserve">The OCC is the </w:t>
      </w:r>
      <w:r w:rsidRPr="00202C1F">
        <w:rPr>
          <w:rFonts w:ascii="Arial Narrow" w:hAnsi="Arial Narrow" w:cs="Segoe UI"/>
          <w:i/>
          <w:iCs/>
          <w:color w:val="2F3941"/>
          <w:shd w:val="clear" w:color="auto" w:fill="FFFFFF"/>
        </w:rPr>
        <w:t>only</w:t>
      </w:r>
      <w:r w:rsidRPr="00202C1F">
        <w:rPr>
          <w:rFonts w:ascii="Arial Narrow" w:hAnsi="Arial Narrow" w:cs="Segoe UI"/>
          <w:color w:val="2F3941"/>
          <w:shd w:val="clear" w:color="auto" w:fill="FFFFFF"/>
        </w:rPr>
        <w:t xml:space="preserve"> Agency to have issued guidance (although this is not an official guidance but merely an email sent out. At this time, C/A has not been able to find a site stating the content in the email).  For OCC regulated banks, the OCC will</w:t>
      </w:r>
      <w:r w:rsidR="00202C1F" w:rsidRPr="00202C1F">
        <w:rPr>
          <w:rFonts w:ascii="Arial Narrow" w:hAnsi="Arial Narrow" w:cs="Segoe UI"/>
          <w:color w:val="2F3941"/>
          <w:shd w:val="clear" w:color="auto" w:fill="FFFFFF"/>
        </w:rPr>
        <w:t xml:space="preserve"> not take supervisory or enforcement action against a bank for reasonable delays in complying with the forced place requirements of 12 CFR 22.7 in connection with the 120-day grace period provided that the bank makes good faith efforts to support borrowers and comply with the flood insurance force placement requirements, as well as respond to any corrective action identified in supervisory feedback.</w:t>
      </w:r>
    </w:p>
    <w:p w14:paraId="2112504B" w14:textId="2D4786BE" w:rsidR="00202C1F" w:rsidRDefault="00202C1F" w:rsidP="00202C1F">
      <w:pPr>
        <w:spacing w:before="120" w:after="120"/>
        <w:ind w:left="360"/>
        <w:jc w:val="both"/>
        <w:rPr>
          <w:rFonts w:ascii="Arial Narrow" w:hAnsi="Arial Narrow"/>
        </w:rPr>
      </w:pPr>
      <w:r>
        <w:rPr>
          <w:rFonts w:ascii="Arial Narrow" w:hAnsi="Arial Narrow" w:cs="Segoe UI"/>
          <w:color w:val="2F3941"/>
          <w:shd w:val="clear" w:color="auto" w:fill="FFFFFF"/>
        </w:rPr>
        <w:t>“</w:t>
      </w:r>
      <w:r w:rsidRPr="00202C1F">
        <w:rPr>
          <w:rFonts w:ascii="Arial Narrow" w:hAnsi="Arial Narrow"/>
        </w:rPr>
        <w:t>For example, a bank may provide the notice required by § 22.7 to the borrower after determining the policy has expired informing the borrower they should obtain sufficient flood insurance, which also includes an indication that the NFIP grace period has been extended for 120 days, or a bank may delay providing the required notice until 45 days before the end of the 120-day grace period. At the end of the 120-day grace period, the bank must force place flood insurance on the borrower’s behalf if the borrower has not obtained flood insurance. Banks should be aware that if they force place flood insurance for NFIP policies that expire during the FEMA emergency period prior to the expiration of the 120-day grace period and the borrower pays the premium by the end of the 120-day grace period, then consistent with the OCC’s flood insurance regulatory requirements in 22.7(b), the bank would be required to refund the borrower for any overlapping flood insurance coverage</w:t>
      </w:r>
      <w:r>
        <w:rPr>
          <w:rFonts w:ascii="Arial Narrow" w:hAnsi="Arial Narrow"/>
        </w:rPr>
        <w:t>.”</w:t>
      </w:r>
    </w:p>
    <w:p w14:paraId="2C08EFA1" w14:textId="46F56A4E" w:rsidR="00202C1F" w:rsidRPr="00202C1F" w:rsidRDefault="00202C1F" w:rsidP="00202C1F">
      <w:pPr>
        <w:spacing w:before="120" w:after="120"/>
        <w:jc w:val="both"/>
        <w:rPr>
          <w:rFonts w:ascii="Arial Narrow" w:hAnsi="Arial Narrow"/>
        </w:rPr>
      </w:pPr>
      <w:r>
        <w:rPr>
          <w:rFonts w:ascii="Arial Narrow" w:hAnsi="Arial Narrow"/>
        </w:rPr>
        <w:t xml:space="preserve">Apart from the OCC’s guidance, other agencies have not responded to these concerns. Banks must always be consulting their primary federal regulator for additional guidance. </w:t>
      </w:r>
    </w:p>
    <w:p w14:paraId="11CDE294" w14:textId="7702766E" w:rsidR="00816065" w:rsidRPr="00202C1F" w:rsidRDefault="00816065" w:rsidP="00A0760F">
      <w:pPr>
        <w:numPr>
          <w:ilvl w:val="0"/>
          <w:numId w:val="29"/>
        </w:numPr>
        <w:spacing w:before="120" w:after="120"/>
        <w:jc w:val="both"/>
        <w:rPr>
          <w:rFonts w:ascii="Arial Narrow" w:hAnsi="Arial Narrow" w:cs="Arial"/>
          <w:b/>
          <w:bCs/>
          <w:color w:val="000000"/>
        </w:rPr>
      </w:pPr>
      <w:r w:rsidRPr="00202C1F">
        <w:rPr>
          <w:rFonts w:ascii="Arial Narrow" w:hAnsi="Arial Narrow" w:cs="Arial"/>
          <w:b/>
          <w:bCs/>
          <w:color w:val="000000"/>
        </w:rPr>
        <w:t>What are the PPP forgiveness procedures?</w:t>
      </w:r>
    </w:p>
    <w:p w14:paraId="64CFDED1" w14:textId="77777777" w:rsidR="0080039D" w:rsidRPr="00202C1F" w:rsidRDefault="00401667" w:rsidP="00A0760F">
      <w:pPr>
        <w:spacing w:before="120" w:after="120"/>
        <w:jc w:val="both"/>
        <w:rPr>
          <w:rFonts w:ascii="Arial Narrow" w:hAnsi="Arial Narrow" w:cs="Arial"/>
          <w:color w:val="000000"/>
        </w:rPr>
      </w:pPr>
      <w:r w:rsidRPr="00202C1F">
        <w:rPr>
          <w:rFonts w:ascii="Arial Narrow" w:hAnsi="Arial Narrow" w:cs="Arial"/>
          <w:color w:val="000000"/>
        </w:rPr>
        <w:t>At this time, the guidance is as follows</w:t>
      </w:r>
      <w:r w:rsidR="00007CF5" w:rsidRPr="00202C1F">
        <w:rPr>
          <w:rFonts w:ascii="Arial Narrow" w:hAnsi="Arial Narrow" w:cs="Arial"/>
          <w:color w:val="000000"/>
        </w:rPr>
        <w:t xml:space="preserve">: </w:t>
      </w:r>
    </w:p>
    <w:p w14:paraId="1FA2894A" w14:textId="4417EC45" w:rsidR="00816065" w:rsidRPr="00202C1F" w:rsidRDefault="00007CF5" w:rsidP="00A0760F">
      <w:pPr>
        <w:spacing w:before="120" w:after="120"/>
        <w:jc w:val="both"/>
        <w:rPr>
          <w:rFonts w:ascii="Arial Narrow" w:hAnsi="Arial Narrow" w:cs="Arial"/>
          <w:color w:val="000000"/>
        </w:rPr>
      </w:pPr>
      <w:r w:rsidRPr="00202C1F">
        <w:rPr>
          <w:rFonts w:ascii="Arial Narrow" w:hAnsi="Arial Narrow" w:cs="Arial"/>
          <w:color w:val="000000"/>
        </w:rPr>
        <w:t xml:space="preserve">After the disbursement of the loan, the borrower will be eligible for loan forgiveness on up to eight-weeks of covered expenses. Borrower </w:t>
      </w:r>
      <w:r w:rsidRPr="00202C1F">
        <w:rPr>
          <w:rFonts w:ascii="Arial Narrow" w:hAnsi="Arial Narrow" w:cs="Arial"/>
          <w:i/>
          <w:iCs/>
          <w:color w:val="000000"/>
        </w:rPr>
        <w:t>must</w:t>
      </w:r>
      <w:r w:rsidRPr="00202C1F">
        <w:rPr>
          <w:rFonts w:ascii="Arial Narrow" w:hAnsi="Arial Narrow" w:cs="Arial"/>
          <w:color w:val="000000"/>
        </w:rPr>
        <w:t xml:space="preserve"> apply to a lender to receive forgiveness by submitting all relevant paperwork.  At that time, the lender will then have up to sixty days to approve or deny the application.  Lenders are free to rely on the borrower’s documentation for loan forgiveness.  But this does raise safety and soundness issues, as well as potential risks, to banks need to be determining to what degree they will be relying and not reverifying information.  If the loan </w:t>
      </w:r>
      <w:r w:rsidRPr="00202C1F">
        <w:rPr>
          <w:rFonts w:ascii="Arial Narrow" w:hAnsi="Arial Narrow" w:cs="Arial"/>
          <w:color w:val="000000"/>
        </w:rPr>
        <w:lastRenderedPageBreak/>
        <w:t xml:space="preserve">forgiveness application is approved, that eligible portion of the borrower’s PPP loan is forgiven, and the SBA will pay the lender that part of the principal amount plus interest. </w:t>
      </w:r>
    </w:p>
    <w:p w14:paraId="72254E89" w14:textId="0FDC71CD" w:rsidR="00007CF5" w:rsidRPr="00202C1F" w:rsidRDefault="00007CF5" w:rsidP="00A0760F">
      <w:pPr>
        <w:spacing w:before="120" w:after="120"/>
        <w:jc w:val="both"/>
        <w:rPr>
          <w:rFonts w:ascii="Arial Narrow" w:hAnsi="Arial Narrow" w:cs="Arial"/>
          <w:color w:val="000000"/>
        </w:rPr>
      </w:pPr>
      <w:r w:rsidRPr="00202C1F">
        <w:rPr>
          <w:rFonts w:ascii="Arial Narrow" w:hAnsi="Arial Narrow" w:cs="Arial"/>
          <w:color w:val="000000"/>
        </w:rPr>
        <w:t xml:space="preserve">Borrowers will not be responsible for any loan payment if the borrower used all of the loan proceeds for forgivable purposes and the employee and compensation levels were maintained. </w:t>
      </w:r>
    </w:p>
    <w:p w14:paraId="170677C1" w14:textId="3CF605BE" w:rsidR="00CA446B" w:rsidRPr="00202C1F" w:rsidRDefault="00CA446B" w:rsidP="00A0760F">
      <w:pPr>
        <w:spacing w:before="120" w:after="120"/>
        <w:jc w:val="both"/>
        <w:rPr>
          <w:rFonts w:ascii="Arial Narrow" w:hAnsi="Arial Narrow" w:cs="Arial"/>
          <w:color w:val="000000"/>
        </w:rPr>
      </w:pPr>
      <w:r w:rsidRPr="00202C1F">
        <w:rPr>
          <w:rFonts w:ascii="Arial Narrow" w:hAnsi="Arial Narrow" w:cs="Arial"/>
          <w:color w:val="000000"/>
        </w:rPr>
        <w:t>The actual amount of loan forgiveness depends, in part, on payments over the 8-week period following the disbursement of the loan, which includes:</w:t>
      </w:r>
    </w:p>
    <w:p w14:paraId="45471B9F" w14:textId="125912C7" w:rsidR="00CA446B" w:rsidRPr="00202C1F" w:rsidRDefault="00CA446B" w:rsidP="00A0760F">
      <w:pPr>
        <w:pStyle w:val="ListParagraph"/>
        <w:numPr>
          <w:ilvl w:val="0"/>
          <w:numId w:val="38"/>
        </w:numPr>
        <w:spacing w:before="120" w:after="120"/>
        <w:jc w:val="both"/>
        <w:rPr>
          <w:rFonts w:ascii="Arial Narrow" w:hAnsi="Arial Narrow" w:cs="Arial"/>
          <w:color w:val="000000"/>
        </w:rPr>
      </w:pPr>
      <w:r w:rsidRPr="00202C1F">
        <w:rPr>
          <w:rFonts w:ascii="Arial Narrow" w:hAnsi="Arial Narrow" w:cs="Arial"/>
          <w:color w:val="000000"/>
        </w:rPr>
        <w:t>Total amount for payroll costs</w:t>
      </w:r>
    </w:p>
    <w:p w14:paraId="7E322528" w14:textId="29C6D05D" w:rsidR="00CA446B" w:rsidRPr="00202C1F" w:rsidRDefault="00CA446B" w:rsidP="00A0760F">
      <w:pPr>
        <w:pStyle w:val="ListParagraph"/>
        <w:numPr>
          <w:ilvl w:val="0"/>
          <w:numId w:val="38"/>
        </w:numPr>
        <w:spacing w:before="120" w:after="120"/>
        <w:jc w:val="both"/>
        <w:rPr>
          <w:rFonts w:ascii="Arial Narrow" w:hAnsi="Arial Narrow" w:cs="Arial"/>
          <w:color w:val="000000"/>
        </w:rPr>
      </w:pPr>
      <w:r w:rsidRPr="00202C1F">
        <w:rPr>
          <w:rFonts w:ascii="Arial Narrow" w:hAnsi="Arial Narrow" w:cs="Arial"/>
          <w:color w:val="000000"/>
        </w:rPr>
        <w:t>Payments of interest on mortgage obligations incurred before February 15, 2020</w:t>
      </w:r>
    </w:p>
    <w:p w14:paraId="4BDD22FB" w14:textId="2DEE3957" w:rsidR="00CA446B" w:rsidRPr="00202C1F" w:rsidRDefault="00CA446B" w:rsidP="00A0760F">
      <w:pPr>
        <w:pStyle w:val="ListParagraph"/>
        <w:numPr>
          <w:ilvl w:val="0"/>
          <w:numId w:val="38"/>
        </w:numPr>
        <w:spacing w:before="120" w:after="120"/>
        <w:jc w:val="both"/>
        <w:rPr>
          <w:rFonts w:ascii="Arial Narrow" w:hAnsi="Arial Narrow" w:cs="Arial"/>
          <w:color w:val="000000"/>
        </w:rPr>
      </w:pPr>
      <w:r w:rsidRPr="00202C1F">
        <w:rPr>
          <w:rFonts w:ascii="Arial Narrow" w:hAnsi="Arial Narrow" w:cs="Arial"/>
          <w:color w:val="000000"/>
        </w:rPr>
        <w:t>Rent payments on leases dated before February 15, 2020 and</w:t>
      </w:r>
    </w:p>
    <w:p w14:paraId="271A7B13" w14:textId="22986928" w:rsidR="00CA446B" w:rsidRPr="00202C1F" w:rsidRDefault="00CA446B" w:rsidP="00A0760F">
      <w:pPr>
        <w:pStyle w:val="ListParagraph"/>
        <w:numPr>
          <w:ilvl w:val="0"/>
          <w:numId w:val="38"/>
        </w:numPr>
        <w:spacing w:before="120" w:after="120"/>
        <w:jc w:val="both"/>
        <w:rPr>
          <w:rFonts w:ascii="Arial Narrow" w:hAnsi="Arial Narrow" w:cs="Arial"/>
          <w:color w:val="000000"/>
        </w:rPr>
      </w:pPr>
      <w:r w:rsidRPr="00202C1F">
        <w:rPr>
          <w:rFonts w:ascii="Arial Narrow" w:hAnsi="Arial Narrow" w:cs="Arial"/>
          <w:color w:val="000000"/>
        </w:rPr>
        <w:t xml:space="preserve">Utility payments under service agreements dated before February 15, 2020. </w:t>
      </w:r>
    </w:p>
    <w:p w14:paraId="00415D89" w14:textId="27E55F1E" w:rsidR="00CA446B" w:rsidRPr="00202C1F" w:rsidRDefault="00CA446B" w:rsidP="00A0760F">
      <w:pPr>
        <w:spacing w:before="120" w:after="120"/>
        <w:jc w:val="both"/>
        <w:rPr>
          <w:rFonts w:ascii="Arial Narrow" w:hAnsi="Arial Narrow" w:cs="Arial"/>
          <w:color w:val="000000"/>
        </w:rPr>
      </w:pPr>
      <w:r w:rsidRPr="00202C1F">
        <w:rPr>
          <w:rFonts w:ascii="Arial Narrow" w:hAnsi="Arial Narrow" w:cs="Arial"/>
          <w:color w:val="000000"/>
        </w:rPr>
        <w:t xml:space="preserve">At least 75% of the loan forgiveness amount must be attributed to payroll costs.  Not more than 25% of the loan forgiveness amount can be attributable to non-payroll costs. The forgiveness amount cannot exceed the total amount of principal on the PPP loan.  </w:t>
      </w:r>
    </w:p>
    <w:p w14:paraId="0C74E114" w14:textId="4835F67F" w:rsidR="00CA446B" w:rsidRPr="00202C1F" w:rsidRDefault="00CA446B" w:rsidP="00A0760F">
      <w:pPr>
        <w:spacing w:before="120" w:after="120"/>
        <w:jc w:val="both"/>
        <w:rPr>
          <w:rFonts w:ascii="Arial Narrow" w:hAnsi="Arial Narrow" w:cs="Arial"/>
          <w:color w:val="000000"/>
        </w:rPr>
      </w:pPr>
      <w:r w:rsidRPr="00202C1F">
        <w:rPr>
          <w:rFonts w:ascii="Arial Narrow" w:hAnsi="Arial Narrow" w:cs="Arial"/>
          <w:color w:val="000000"/>
        </w:rPr>
        <w:t xml:space="preserve">Independent contractors will not count towards PPP loan forgiveness as they can apply for their own PPP loans. </w:t>
      </w:r>
    </w:p>
    <w:p w14:paraId="593E3F86" w14:textId="18A78A7A" w:rsidR="0080039D" w:rsidRPr="00202C1F" w:rsidRDefault="0080039D" w:rsidP="00A0760F">
      <w:pPr>
        <w:spacing w:before="120" w:after="120"/>
        <w:jc w:val="both"/>
        <w:rPr>
          <w:rFonts w:ascii="Arial Narrow" w:hAnsi="Arial Narrow" w:cs="Arial"/>
          <w:color w:val="000000"/>
        </w:rPr>
      </w:pPr>
      <w:r w:rsidRPr="00202C1F">
        <w:rPr>
          <w:rFonts w:ascii="Arial Narrow" w:hAnsi="Arial Narrow" w:cs="Arial"/>
          <w:color w:val="000000"/>
        </w:rPr>
        <w:t>Borrowers are to submit to the lender the following information in their forgiveness application:</w:t>
      </w:r>
    </w:p>
    <w:p w14:paraId="30150272" w14:textId="77777777" w:rsidR="0080039D" w:rsidRPr="00202C1F" w:rsidRDefault="0080039D" w:rsidP="00A0760F">
      <w:pPr>
        <w:pStyle w:val="ListParagraph"/>
        <w:numPr>
          <w:ilvl w:val="0"/>
          <w:numId w:val="40"/>
        </w:numPr>
        <w:spacing w:before="120" w:after="120"/>
        <w:jc w:val="both"/>
        <w:rPr>
          <w:rFonts w:ascii="Arial Narrow" w:hAnsi="Arial Narrow" w:cs="Arial"/>
          <w:color w:val="000000"/>
        </w:rPr>
      </w:pPr>
      <w:r w:rsidRPr="00202C1F">
        <w:rPr>
          <w:rFonts w:ascii="Arial Narrow" w:hAnsi="Arial Narrow"/>
        </w:rPr>
        <w:t xml:space="preserve">Borrower certification required by Section 1106(e)(3) of the CARES Act, (See ABA FAQ 77) </w:t>
      </w:r>
    </w:p>
    <w:p w14:paraId="0FE6B553" w14:textId="77777777" w:rsidR="0080039D" w:rsidRPr="00202C1F" w:rsidRDefault="0080039D" w:rsidP="00A0760F">
      <w:pPr>
        <w:pStyle w:val="ListParagraph"/>
        <w:numPr>
          <w:ilvl w:val="0"/>
          <w:numId w:val="40"/>
        </w:numPr>
        <w:spacing w:before="120" w:after="120"/>
        <w:jc w:val="both"/>
        <w:rPr>
          <w:rFonts w:ascii="Arial Narrow" w:hAnsi="Arial Narrow" w:cs="Arial"/>
          <w:color w:val="000000"/>
        </w:rPr>
      </w:pPr>
      <w:r w:rsidRPr="00202C1F">
        <w:rPr>
          <w:rFonts w:ascii="Arial Narrow" w:hAnsi="Arial Narrow"/>
        </w:rPr>
        <w:t xml:space="preserve">Payroll: If the borrower has employees: </w:t>
      </w:r>
    </w:p>
    <w:p w14:paraId="3F866E1D" w14:textId="77777777" w:rsidR="0080039D" w:rsidRPr="00202C1F" w:rsidRDefault="0080039D" w:rsidP="00A0760F">
      <w:pPr>
        <w:pStyle w:val="ListParagraph"/>
        <w:numPr>
          <w:ilvl w:val="1"/>
          <w:numId w:val="40"/>
        </w:numPr>
        <w:spacing w:before="120" w:after="120"/>
        <w:jc w:val="both"/>
        <w:rPr>
          <w:rFonts w:ascii="Arial Narrow" w:hAnsi="Arial Narrow" w:cs="Arial"/>
          <w:color w:val="000000"/>
        </w:rPr>
      </w:pPr>
      <w:r w:rsidRPr="00202C1F">
        <w:rPr>
          <w:rFonts w:ascii="Arial Narrow" w:hAnsi="Arial Narrow"/>
        </w:rPr>
        <w:t>Form 941, and</w:t>
      </w:r>
    </w:p>
    <w:p w14:paraId="648C4AD6" w14:textId="77777777" w:rsidR="0080039D" w:rsidRPr="00202C1F" w:rsidRDefault="0080039D" w:rsidP="00A0760F">
      <w:pPr>
        <w:pStyle w:val="ListParagraph"/>
        <w:numPr>
          <w:ilvl w:val="1"/>
          <w:numId w:val="40"/>
        </w:numPr>
        <w:spacing w:before="120" w:after="120"/>
        <w:jc w:val="both"/>
        <w:rPr>
          <w:rFonts w:ascii="Arial Narrow" w:hAnsi="Arial Narrow" w:cs="Arial"/>
          <w:color w:val="000000"/>
        </w:rPr>
      </w:pPr>
      <w:r w:rsidRPr="00202C1F">
        <w:rPr>
          <w:rFonts w:ascii="Arial Narrow" w:hAnsi="Arial Narrow"/>
        </w:rPr>
        <w:t>State quarterly wage unemployment insurance tax reporting forms, or</w:t>
      </w:r>
    </w:p>
    <w:p w14:paraId="5961A228" w14:textId="77777777" w:rsidR="0080039D" w:rsidRPr="00202C1F" w:rsidRDefault="0080039D" w:rsidP="00A0760F">
      <w:pPr>
        <w:pStyle w:val="ListParagraph"/>
        <w:numPr>
          <w:ilvl w:val="1"/>
          <w:numId w:val="40"/>
        </w:numPr>
        <w:spacing w:before="120" w:after="120"/>
        <w:jc w:val="both"/>
        <w:rPr>
          <w:rFonts w:ascii="Arial Narrow" w:hAnsi="Arial Narrow" w:cs="Arial"/>
          <w:color w:val="000000"/>
        </w:rPr>
      </w:pPr>
      <w:r w:rsidRPr="00202C1F">
        <w:rPr>
          <w:rFonts w:ascii="Arial Narrow" w:hAnsi="Arial Narrow"/>
        </w:rPr>
        <w:t>Equivalent payroll processor records that best correspond to the covered period,</w:t>
      </w:r>
    </w:p>
    <w:p w14:paraId="3351B903" w14:textId="434C18D6" w:rsidR="0080039D" w:rsidRPr="00202C1F" w:rsidRDefault="0080039D" w:rsidP="00A0760F">
      <w:pPr>
        <w:pStyle w:val="ListParagraph"/>
        <w:numPr>
          <w:ilvl w:val="1"/>
          <w:numId w:val="40"/>
        </w:numPr>
        <w:spacing w:before="120" w:after="120"/>
        <w:jc w:val="both"/>
        <w:rPr>
          <w:rFonts w:ascii="Arial Narrow" w:hAnsi="Arial Narrow" w:cs="Arial"/>
          <w:color w:val="000000"/>
        </w:rPr>
      </w:pPr>
      <w:r w:rsidRPr="00202C1F">
        <w:rPr>
          <w:rFonts w:ascii="Arial Narrow" w:hAnsi="Arial Narrow"/>
        </w:rPr>
        <w:t>Provide evidence of any retirement and health insurance contributions.</w:t>
      </w:r>
    </w:p>
    <w:p w14:paraId="7590DAB9" w14:textId="77777777" w:rsidR="0080039D" w:rsidRPr="00202C1F" w:rsidRDefault="0080039D" w:rsidP="00A0760F">
      <w:pPr>
        <w:pStyle w:val="ListParagraph"/>
        <w:numPr>
          <w:ilvl w:val="0"/>
          <w:numId w:val="40"/>
        </w:numPr>
        <w:spacing w:before="120" w:after="120"/>
        <w:jc w:val="both"/>
        <w:rPr>
          <w:rFonts w:ascii="Arial Narrow" w:hAnsi="Arial Narrow" w:cs="Arial"/>
          <w:color w:val="000000"/>
        </w:rPr>
      </w:pPr>
      <w:r w:rsidRPr="00202C1F">
        <w:rPr>
          <w:rFonts w:ascii="Arial Narrow" w:hAnsi="Arial Narrow"/>
        </w:rPr>
        <w:t xml:space="preserve">Rent, Mortgage, Utilities: All borrowers seeking forgiveness must submit evidence of: </w:t>
      </w:r>
    </w:p>
    <w:p w14:paraId="7536D73C" w14:textId="77777777" w:rsidR="0080039D" w:rsidRPr="00202C1F" w:rsidRDefault="0080039D" w:rsidP="00A0760F">
      <w:pPr>
        <w:pStyle w:val="ListParagraph"/>
        <w:numPr>
          <w:ilvl w:val="1"/>
          <w:numId w:val="40"/>
        </w:numPr>
        <w:spacing w:before="120" w:after="120"/>
        <w:jc w:val="both"/>
        <w:rPr>
          <w:rFonts w:ascii="Arial Narrow" w:hAnsi="Arial Narrow" w:cs="Arial"/>
          <w:color w:val="000000"/>
        </w:rPr>
      </w:pPr>
      <w:r w:rsidRPr="00202C1F">
        <w:rPr>
          <w:rFonts w:ascii="Arial Narrow" w:hAnsi="Arial Narrow"/>
        </w:rPr>
        <w:t xml:space="preserve">Business rent, </w:t>
      </w:r>
    </w:p>
    <w:p w14:paraId="0398699E" w14:textId="77777777" w:rsidR="0080039D" w:rsidRPr="00202C1F" w:rsidRDefault="0080039D" w:rsidP="00A0760F">
      <w:pPr>
        <w:pStyle w:val="ListParagraph"/>
        <w:numPr>
          <w:ilvl w:val="1"/>
          <w:numId w:val="40"/>
        </w:numPr>
        <w:spacing w:before="120" w:after="120"/>
        <w:jc w:val="both"/>
        <w:rPr>
          <w:rFonts w:ascii="Arial Narrow" w:hAnsi="Arial Narrow" w:cs="Arial"/>
          <w:color w:val="000000"/>
        </w:rPr>
      </w:pPr>
      <w:r w:rsidRPr="00202C1F">
        <w:rPr>
          <w:rFonts w:ascii="Arial Narrow" w:hAnsi="Arial Narrow"/>
        </w:rPr>
        <w:t xml:space="preserve">Business mortgage interest payments on real or personal property, or </w:t>
      </w:r>
    </w:p>
    <w:p w14:paraId="0461690E" w14:textId="14E72C3A" w:rsidR="0080039D" w:rsidRPr="00202C1F" w:rsidRDefault="0080039D" w:rsidP="00A0760F">
      <w:pPr>
        <w:pStyle w:val="ListParagraph"/>
        <w:numPr>
          <w:ilvl w:val="1"/>
          <w:numId w:val="40"/>
        </w:numPr>
        <w:spacing w:before="120" w:after="120"/>
        <w:jc w:val="both"/>
        <w:rPr>
          <w:rFonts w:ascii="Arial Narrow" w:hAnsi="Arial Narrow" w:cs="Arial"/>
          <w:color w:val="000000"/>
        </w:rPr>
      </w:pPr>
      <w:r w:rsidRPr="00202C1F">
        <w:rPr>
          <w:rFonts w:ascii="Arial Narrow" w:hAnsi="Arial Narrow"/>
        </w:rPr>
        <w:t xml:space="preserve">Business utility payments during the covered period if you used loan proceeds for those purposes. </w:t>
      </w:r>
    </w:p>
    <w:p w14:paraId="0B7BC392" w14:textId="77777777" w:rsidR="0080039D" w:rsidRPr="00202C1F" w:rsidRDefault="0080039D" w:rsidP="00A0760F">
      <w:pPr>
        <w:pStyle w:val="ListParagraph"/>
        <w:numPr>
          <w:ilvl w:val="0"/>
          <w:numId w:val="40"/>
        </w:numPr>
        <w:spacing w:before="120" w:after="120"/>
        <w:jc w:val="both"/>
        <w:rPr>
          <w:rFonts w:ascii="Arial Narrow" w:hAnsi="Arial Narrow" w:cs="Arial"/>
          <w:color w:val="000000"/>
        </w:rPr>
      </w:pPr>
      <w:r w:rsidRPr="00202C1F">
        <w:rPr>
          <w:rFonts w:ascii="Arial Narrow" w:hAnsi="Arial Narrow"/>
        </w:rPr>
        <w:t xml:space="preserve">Owner Compensation: </w:t>
      </w:r>
    </w:p>
    <w:p w14:paraId="57A6E888" w14:textId="77777777" w:rsidR="0080039D" w:rsidRPr="00202C1F" w:rsidRDefault="0080039D" w:rsidP="00A0760F">
      <w:pPr>
        <w:pStyle w:val="ListParagraph"/>
        <w:numPr>
          <w:ilvl w:val="1"/>
          <w:numId w:val="40"/>
        </w:numPr>
        <w:spacing w:before="120" w:after="120"/>
        <w:jc w:val="both"/>
        <w:rPr>
          <w:rFonts w:ascii="Arial Narrow" w:hAnsi="Arial Narrow" w:cs="Arial"/>
          <w:color w:val="000000"/>
        </w:rPr>
      </w:pPr>
      <w:r w:rsidRPr="00202C1F">
        <w:rPr>
          <w:rFonts w:ascii="Arial Narrow" w:hAnsi="Arial Narrow"/>
        </w:rPr>
        <w:t xml:space="preserve">2019 Form 1040 Schedule C to determine net profits. </w:t>
      </w:r>
    </w:p>
    <w:p w14:paraId="6AFF95B2" w14:textId="77777777" w:rsidR="0080039D" w:rsidRPr="00202C1F" w:rsidRDefault="0080039D" w:rsidP="00A0760F">
      <w:pPr>
        <w:pStyle w:val="ListParagraph"/>
        <w:numPr>
          <w:ilvl w:val="2"/>
          <w:numId w:val="40"/>
        </w:numPr>
        <w:spacing w:before="120" w:after="120"/>
        <w:jc w:val="both"/>
        <w:rPr>
          <w:rFonts w:ascii="Arial Narrow" w:hAnsi="Arial Narrow" w:cs="Arial"/>
          <w:color w:val="000000"/>
        </w:rPr>
      </w:pPr>
      <w:r w:rsidRPr="00202C1F">
        <w:rPr>
          <w:rFonts w:ascii="Arial Narrow" w:hAnsi="Arial Narrow"/>
        </w:rPr>
        <w:t xml:space="preserve">As provided at the time of the PPP loan application. </w:t>
      </w:r>
    </w:p>
    <w:p w14:paraId="38B8C765" w14:textId="77777777" w:rsidR="0080039D" w:rsidRPr="00202C1F" w:rsidRDefault="0080039D" w:rsidP="00A0760F">
      <w:pPr>
        <w:pStyle w:val="ListParagraph"/>
        <w:numPr>
          <w:ilvl w:val="2"/>
          <w:numId w:val="40"/>
        </w:numPr>
        <w:spacing w:before="120" w:after="120"/>
        <w:jc w:val="both"/>
        <w:rPr>
          <w:rFonts w:ascii="Arial Narrow" w:hAnsi="Arial Narrow" w:cs="Arial"/>
          <w:color w:val="000000"/>
        </w:rPr>
      </w:pPr>
      <w:r w:rsidRPr="00202C1F">
        <w:rPr>
          <w:rFonts w:ascii="Arial Narrow" w:hAnsi="Arial Narrow"/>
        </w:rPr>
        <w:t xml:space="preserve">Must be used to determine the amount of net profit allocated to the owner for the eight-week covered period. </w:t>
      </w:r>
    </w:p>
    <w:p w14:paraId="532A06B0" w14:textId="1848D64B" w:rsidR="0080039D" w:rsidRPr="00202C1F" w:rsidRDefault="0080039D" w:rsidP="00A0760F">
      <w:pPr>
        <w:pStyle w:val="ListParagraph"/>
        <w:numPr>
          <w:ilvl w:val="1"/>
          <w:numId w:val="40"/>
        </w:numPr>
        <w:spacing w:before="120" w:after="120"/>
        <w:jc w:val="both"/>
        <w:rPr>
          <w:rFonts w:ascii="Arial Narrow" w:hAnsi="Arial Narrow" w:cs="Arial"/>
          <w:color w:val="000000"/>
        </w:rPr>
      </w:pPr>
      <w:r w:rsidRPr="00202C1F">
        <w:rPr>
          <w:rFonts w:ascii="Arial Narrow" w:hAnsi="Arial Narrow"/>
        </w:rPr>
        <w:t>SBA and US Treasury determined that for purposes of loan forgiveness it is appropriate to require self-employed individuals to rely on the 2019 Form 1040 Schedule C to determine the amount of net profit allocated to the owner during the covered period.</w:t>
      </w:r>
    </w:p>
    <w:p w14:paraId="74C4E08B" w14:textId="0C14D51A" w:rsidR="0080039D" w:rsidRPr="00202C1F" w:rsidRDefault="0080039D" w:rsidP="00A0760F">
      <w:pPr>
        <w:spacing w:before="120" w:after="120"/>
        <w:jc w:val="both"/>
        <w:rPr>
          <w:rFonts w:ascii="Arial Narrow" w:hAnsi="Arial Narrow" w:cs="Arial"/>
          <w:color w:val="000000"/>
        </w:rPr>
      </w:pPr>
      <w:r w:rsidRPr="00202C1F">
        <w:rPr>
          <w:rFonts w:ascii="Arial Narrow" w:hAnsi="Arial Narrow" w:cs="Arial"/>
          <w:color w:val="000000"/>
        </w:rPr>
        <w:t xml:space="preserve">Note: For self-employed borrowers, forgiveness is based on 2019 net profits. </w:t>
      </w:r>
    </w:p>
    <w:p w14:paraId="163FF7D3" w14:textId="74D043C5" w:rsidR="0080039D" w:rsidRPr="00202C1F" w:rsidRDefault="0080039D" w:rsidP="00A0760F">
      <w:pPr>
        <w:spacing w:before="120" w:after="120"/>
        <w:jc w:val="both"/>
        <w:rPr>
          <w:rFonts w:ascii="Arial Narrow" w:hAnsi="Arial Narrow" w:cs="Arial"/>
          <w:color w:val="000000"/>
        </w:rPr>
      </w:pPr>
      <w:r w:rsidRPr="00202C1F">
        <w:rPr>
          <w:rFonts w:ascii="Arial Narrow" w:hAnsi="Arial Narrow" w:cs="Arial"/>
          <w:color w:val="000000"/>
        </w:rPr>
        <w:t xml:space="preserve">The actual amount of loan forgiveness is determined by examining the following: </w:t>
      </w:r>
    </w:p>
    <w:p w14:paraId="03D5B370" w14:textId="77777777" w:rsidR="0080039D" w:rsidRPr="00202C1F" w:rsidRDefault="0080039D" w:rsidP="00A0760F">
      <w:pPr>
        <w:pStyle w:val="ListParagraph"/>
        <w:numPr>
          <w:ilvl w:val="0"/>
          <w:numId w:val="41"/>
        </w:numPr>
        <w:spacing w:before="120" w:after="120"/>
        <w:jc w:val="both"/>
        <w:rPr>
          <w:rFonts w:ascii="Arial Narrow" w:hAnsi="Arial Narrow" w:cs="Arial"/>
          <w:color w:val="000000"/>
        </w:rPr>
      </w:pPr>
      <w:r w:rsidRPr="00202C1F">
        <w:rPr>
          <w:rFonts w:ascii="Arial Narrow" w:hAnsi="Arial Narrow"/>
        </w:rPr>
        <w:t>Payroll costs, including:</w:t>
      </w:r>
    </w:p>
    <w:p w14:paraId="282D8A6F" w14:textId="77777777" w:rsidR="0080039D" w:rsidRPr="00202C1F" w:rsidRDefault="0080039D" w:rsidP="00A0760F">
      <w:pPr>
        <w:pStyle w:val="ListParagraph"/>
        <w:numPr>
          <w:ilvl w:val="1"/>
          <w:numId w:val="41"/>
        </w:numPr>
        <w:spacing w:before="120" w:after="120"/>
        <w:jc w:val="both"/>
        <w:rPr>
          <w:rFonts w:ascii="Arial Narrow" w:hAnsi="Arial Narrow" w:cs="Arial"/>
          <w:color w:val="000000"/>
        </w:rPr>
      </w:pPr>
      <w:r w:rsidRPr="00202C1F">
        <w:rPr>
          <w:rFonts w:ascii="Arial Narrow" w:hAnsi="Arial Narrow"/>
        </w:rPr>
        <w:t xml:space="preserve">Salary, wages, and tips, </w:t>
      </w:r>
    </w:p>
    <w:p w14:paraId="37A21020" w14:textId="77777777" w:rsidR="0080039D" w:rsidRPr="00202C1F" w:rsidRDefault="0080039D" w:rsidP="00A0760F">
      <w:pPr>
        <w:pStyle w:val="ListParagraph"/>
        <w:numPr>
          <w:ilvl w:val="2"/>
          <w:numId w:val="41"/>
        </w:numPr>
        <w:spacing w:before="120" w:after="120"/>
        <w:jc w:val="both"/>
        <w:rPr>
          <w:rFonts w:ascii="Arial Narrow" w:hAnsi="Arial Narrow" w:cs="Arial"/>
          <w:color w:val="000000"/>
        </w:rPr>
      </w:pPr>
      <w:r w:rsidRPr="00202C1F">
        <w:rPr>
          <w:rFonts w:ascii="Arial Narrow" w:hAnsi="Arial Narrow"/>
        </w:rPr>
        <w:t xml:space="preserve">Up to $100,000 of annualized pay per employee </w:t>
      </w:r>
    </w:p>
    <w:p w14:paraId="57FEC155" w14:textId="77777777" w:rsidR="0080039D" w:rsidRPr="00202C1F" w:rsidRDefault="0080039D" w:rsidP="00A0760F">
      <w:pPr>
        <w:pStyle w:val="ListParagraph"/>
        <w:numPr>
          <w:ilvl w:val="2"/>
          <w:numId w:val="41"/>
        </w:numPr>
        <w:spacing w:before="120" w:after="120"/>
        <w:jc w:val="both"/>
        <w:rPr>
          <w:rFonts w:ascii="Arial Narrow" w:hAnsi="Arial Narrow" w:cs="Arial"/>
          <w:color w:val="000000"/>
        </w:rPr>
      </w:pPr>
      <w:r w:rsidRPr="00202C1F">
        <w:rPr>
          <w:rFonts w:ascii="Arial Narrow" w:hAnsi="Arial Narrow"/>
        </w:rPr>
        <w:t>For eight weeks = a maximum of $15,385 per individual,</w:t>
      </w:r>
    </w:p>
    <w:p w14:paraId="1E7293D5" w14:textId="77777777" w:rsidR="0080039D" w:rsidRPr="00202C1F" w:rsidRDefault="0080039D" w:rsidP="00A0760F">
      <w:pPr>
        <w:pStyle w:val="ListParagraph"/>
        <w:numPr>
          <w:ilvl w:val="1"/>
          <w:numId w:val="41"/>
        </w:numPr>
        <w:spacing w:before="120" w:after="120"/>
        <w:jc w:val="both"/>
        <w:rPr>
          <w:rFonts w:ascii="Arial Narrow" w:hAnsi="Arial Narrow" w:cs="Arial"/>
          <w:color w:val="000000"/>
        </w:rPr>
      </w:pPr>
      <w:r w:rsidRPr="00202C1F">
        <w:rPr>
          <w:rFonts w:ascii="Arial Narrow" w:hAnsi="Arial Narrow"/>
        </w:rPr>
        <w:t xml:space="preserve">Covered benefits for employees--but not owners--including: </w:t>
      </w:r>
    </w:p>
    <w:p w14:paraId="19286980" w14:textId="77777777" w:rsidR="0080039D" w:rsidRPr="00202C1F" w:rsidRDefault="0080039D" w:rsidP="00A0760F">
      <w:pPr>
        <w:pStyle w:val="ListParagraph"/>
        <w:numPr>
          <w:ilvl w:val="2"/>
          <w:numId w:val="41"/>
        </w:numPr>
        <w:spacing w:before="120" w:after="120"/>
        <w:jc w:val="both"/>
        <w:rPr>
          <w:rFonts w:ascii="Arial Narrow" w:hAnsi="Arial Narrow" w:cs="Arial"/>
          <w:color w:val="000000"/>
        </w:rPr>
      </w:pPr>
      <w:r w:rsidRPr="00202C1F">
        <w:rPr>
          <w:rFonts w:ascii="Arial Narrow" w:hAnsi="Arial Narrow"/>
        </w:rPr>
        <w:lastRenderedPageBreak/>
        <w:t>Health care expenses,</w:t>
      </w:r>
    </w:p>
    <w:p w14:paraId="032CBE9C" w14:textId="77777777" w:rsidR="0080039D" w:rsidRPr="00202C1F" w:rsidRDefault="0080039D" w:rsidP="00A0760F">
      <w:pPr>
        <w:pStyle w:val="ListParagraph"/>
        <w:numPr>
          <w:ilvl w:val="2"/>
          <w:numId w:val="41"/>
        </w:numPr>
        <w:spacing w:before="120" w:after="120"/>
        <w:jc w:val="both"/>
        <w:rPr>
          <w:rFonts w:ascii="Arial Narrow" w:hAnsi="Arial Narrow" w:cs="Arial"/>
          <w:color w:val="000000"/>
        </w:rPr>
      </w:pPr>
      <w:r w:rsidRPr="00202C1F">
        <w:rPr>
          <w:rFonts w:ascii="Arial Narrow" w:hAnsi="Arial Narrow"/>
        </w:rPr>
        <w:t>Retirement contributions, and</w:t>
      </w:r>
    </w:p>
    <w:p w14:paraId="45C602FE" w14:textId="77777777" w:rsidR="0080039D" w:rsidRPr="00202C1F" w:rsidRDefault="0080039D" w:rsidP="00A0760F">
      <w:pPr>
        <w:pStyle w:val="ListParagraph"/>
        <w:numPr>
          <w:ilvl w:val="2"/>
          <w:numId w:val="41"/>
        </w:numPr>
        <w:spacing w:before="120" w:after="120"/>
        <w:jc w:val="both"/>
        <w:rPr>
          <w:rFonts w:ascii="Arial Narrow" w:hAnsi="Arial Narrow" w:cs="Arial"/>
          <w:color w:val="000000"/>
        </w:rPr>
      </w:pPr>
      <w:r w:rsidRPr="00202C1F">
        <w:rPr>
          <w:rFonts w:ascii="Arial Narrow" w:hAnsi="Arial Narrow"/>
        </w:rPr>
        <w:t>State taxes imposed on employee payroll paid by the employer, such as unemployment insurance premiums;</w:t>
      </w:r>
    </w:p>
    <w:p w14:paraId="01233AC1" w14:textId="77777777" w:rsidR="0080039D" w:rsidRPr="00202C1F" w:rsidRDefault="0080039D" w:rsidP="00A0760F">
      <w:pPr>
        <w:pStyle w:val="ListParagraph"/>
        <w:numPr>
          <w:ilvl w:val="0"/>
          <w:numId w:val="41"/>
        </w:numPr>
        <w:spacing w:before="120" w:after="120"/>
        <w:jc w:val="both"/>
        <w:rPr>
          <w:rFonts w:ascii="Arial Narrow" w:hAnsi="Arial Narrow" w:cs="Arial"/>
          <w:color w:val="000000"/>
        </w:rPr>
      </w:pPr>
      <w:r w:rsidRPr="00202C1F">
        <w:rPr>
          <w:rFonts w:ascii="Arial Narrow" w:hAnsi="Arial Narrow"/>
        </w:rPr>
        <w:t xml:space="preserve">Owner compensation replacement, calculated based on: </w:t>
      </w:r>
    </w:p>
    <w:p w14:paraId="284FE315" w14:textId="77777777" w:rsidR="0080039D" w:rsidRPr="00202C1F" w:rsidRDefault="0080039D" w:rsidP="00A0760F">
      <w:pPr>
        <w:pStyle w:val="ListParagraph"/>
        <w:numPr>
          <w:ilvl w:val="1"/>
          <w:numId w:val="41"/>
        </w:numPr>
        <w:spacing w:before="120" w:after="120"/>
        <w:jc w:val="both"/>
        <w:rPr>
          <w:rFonts w:ascii="Arial Narrow" w:hAnsi="Arial Narrow" w:cs="Arial"/>
          <w:color w:val="000000"/>
        </w:rPr>
      </w:pPr>
      <w:r w:rsidRPr="00202C1F">
        <w:rPr>
          <w:rFonts w:ascii="Arial Narrow" w:hAnsi="Arial Narrow"/>
        </w:rPr>
        <w:t>2019 net profit,</w:t>
      </w:r>
    </w:p>
    <w:p w14:paraId="492DA3E9" w14:textId="77777777" w:rsidR="0080039D" w:rsidRPr="00202C1F" w:rsidRDefault="0080039D" w:rsidP="00A0760F">
      <w:pPr>
        <w:pStyle w:val="ListParagraph"/>
        <w:numPr>
          <w:ilvl w:val="1"/>
          <w:numId w:val="41"/>
        </w:numPr>
        <w:spacing w:before="120" w:after="120"/>
        <w:jc w:val="both"/>
        <w:rPr>
          <w:rFonts w:ascii="Arial Narrow" w:hAnsi="Arial Narrow" w:cs="Arial"/>
          <w:color w:val="000000"/>
        </w:rPr>
      </w:pPr>
      <w:r w:rsidRPr="00202C1F">
        <w:rPr>
          <w:rFonts w:ascii="Arial Narrow" w:hAnsi="Arial Narrow"/>
        </w:rPr>
        <w:t xml:space="preserve">With forgiveness of such amounts limited to eight weeks’ worth (8/52) of 2019 net profit, but </w:t>
      </w:r>
    </w:p>
    <w:p w14:paraId="4BEC817B" w14:textId="77777777" w:rsidR="0080039D" w:rsidRPr="00202C1F" w:rsidRDefault="0080039D" w:rsidP="00A0760F">
      <w:pPr>
        <w:pStyle w:val="ListParagraph"/>
        <w:numPr>
          <w:ilvl w:val="1"/>
          <w:numId w:val="41"/>
        </w:numPr>
        <w:spacing w:before="120" w:after="120"/>
        <w:jc w:val="both"/>
        <w:rPr>
          <w:rFonts w:ascii="Arial Narrow" w:hAnsi="Arial Narrow" w:cs="Arial"/>
          <w:color w:val="000000"/>
        </w:rPr>
      </w:pPr>
      <w:r w:rsidRPr="00202C1F">
        <w:rPr>
          <w:rFonts w:ascii="Arial Narrow" w:hAnsi="Arial Narrow"/>
        </w:rPr>
        <w:t xml:space="preserve">Excluding any qualified sick leave equivalent amount for which a credit is claimed under: </w:t>
      </w:r>
    </w:p>
    <w:p w14:paraId="6074D1A1" w14:textId="77777777" w:rsidR="0080039D" w:rsidRPr="00202C1F" w:rsidRDefault="0080039D" w:rsidP="00A0760F">
      <w:pPr>
        <w:pStyle w:val="ListParagraph"/>
        <w:numPr>
          <w:ilvl w:val="2"/>
          <w:numId w:val="41"/>
        </w:numPr>
        <w:spacing w:before="120" w:after="120"/>
        <w:jc w:val="both"/>
        <w:rPr>
          <w:rFonts w:ascii="Arial Narrow" w:hAnsi="Arial Narrow" w:cs="Arial"/>
          <w:color w:val="000000"/>
        </w:rPr>
      </w:pPr>
      <w:r w:rsidRPr="00202C1F">
        <w:rPr>
          <w:rFonts w:ascii="Arial Narrow" w:hAnsi="Arial Narrow"/>
        </w:rPr>
        <w:t>Section 7002 of the Families First Coronavirus Response Act (FFCRA) (Public Law 116-127), or</w:t>
      </w:r>
    </w:p>
    <w:p w14:paraId="2C92CBC8" w14:textId="77777777" w:rsidR="0080039D" w:rsidRPr="00202C1F" w:rsidRDefault="0080039D" w:rsidP="00A0760F">
      <w:pPr>
        <w:pStyle w:val="ListParagraph"/>
        <w:numPr>
          <w:ilvl w:val="2"/>
          <w:numId w:val="41"/>
        </w:numPr>
        <w:spacing w:before="120" w:after="120"/>
        <w:jc w:val="both"/>
        <w:rPr>
          <w:rFonts w:ascii="Arial Narrow" w:hAnsi="Arial Narrow" w:cs="Arial"/>
          <w:color w:val="000000"/>
        </w:rPr>
      </w:pPr>
      <w:r w:rsidRPr="00202C1F">
        <w:rPr>
          <w:rFonts w:ascii="Arial Narrow" w:hAnsi="Arial Narrow"/>
        </w:rPr>
        <w:t xml:space="preserve">Qualified family leave equivalent amount for which a credit is claimed under section 7004 of FFCRA; </w:t>
      </w:r>
    </w:p>
    <w:p w14:paraId="7A4B0939" w14:textId="77777777" w:rsidR="0080039D" w:rsidRPr="00202C1F" w:rsidRDefault="0080039D" w:rsidP="00A0760F">
      <w:pPr>
        <w:pStyle w:val="ListParagraph"/>
        <w:numPr>
          <w:ilvl w:val="0"/>
          <w:numId w:val="41"/>
        </w:numPr>
        <w:spacing w:before="120" w:after="120"/>
        <w:jc w:val="both"/>
        <w:rPr>
          <w:rFonts w:ascii="Arial Narrow" w:hAnsi="Arial Narrow" w:cs="Arial"/>
          <w:color w:val="000000"/>
        </w:rPr>
      </w:pPr>
      <w:r w:rsidRPr="00202C1F">
        <w:rPr>
          <w:rFonts w:ascii="Arial Narrow" w:hAnsi="Arial Narrow"/>
        </w:rPr>
        <w:t xml:space="preserve">Payments of interest on mortgage obligations </w:t>
      </w:r>
    </w:p>
    <w:p w14:paraId="571CEAFA" w14:textId="77777777" w:rsidR="0080039D" w:rsidRPr="00202C1F" w:rsidRDefault="0080039D" w:rsidP="00A0760F">
      <w:pPr>
        <w:pStyle w:val="ListParagraph"/>
        <w:numPr>
          <w:ilvl w:val="1"/>
          <w:numId w:val="41"/>
        </w:numPr>
        <w:spacing w:before="120" w:after="120"/>
        <w:jc w:val="both"/>
        <w:rPr>
          <w:rFonts w:ascii="Arial Narrow" w:hAnsi="Arial Narrow" w:cs="Arial"/>
          <w:color w:val="000000"/>
        </w:rPr>
      </w:pPr>
      <w:r w:rsidRPr="00202C1F">
        <w:rPr>
          <w:rFonts w:ascii="Arial Narrow" w:hAnsi="Arial Narrow"/>
        </w:rPr>
        <w:t>Real or personal property</w:t>
      </w:r>
    </w:p>
    <w:p w14:paraId="46145A4D" w14:textId="77777777" w:rsidR="0080039D" w:rsidRPr="00202C1F" w:rsidRDefault="0080039D" w:rsidP="00A0760F">
      <w:pPr>
        <w:pStyle w:val="ListParagraph"/>
        <w:numPr>
          <w:ilvl w:val="1"/>
          <w:numId w:val="41"/>
        </w:numPr>
        <w:spacing w:before="120" w:after="120"/>
        <w:jc w:val="both"/>
        <w:rPr>
          <w:rFonts w:ascii="Arial Narrow" w:hAnsi="Arial Narrow" w:cs="Arial"/>
          <w:color w:val="000000"/>
        </w:rPr>
      </w:pPr>
      <w:r w:rsidRPr="00202C1F">
        <w:rPr>
          <w:rFonts w:ascii="Arial Narrow" w:hAnsi="Arial Narrow"/>
        </w:rPr>
        <w:t>Incurred before February 15, 2020</w:t>
      </w:r>
    </w:p>
    <w:p w14:paraId="1AD1B0C7" w14:textId="77777777" w:rsidR="0080039D" w:rsidRPr="00202C1F" w:rsidRDefault="0080039D" w:rsidP="00A0760F">
      <w:pPr>
        <w:pStyle w:val="ListParagraph"/>
        <w:numPr>
          <w:ilvl w:val="1"/>
          <w:numId w:val="41"/>
        </w:numPr>
        <w:spacing w:before="120" w:after="120"/>
        <w:jc w:val="both"/>
        <w:rPr>
          <w:rFonts w:ascii="Arial Narrow" w:hAnsi="Arial Narrow" w:cs="Arial"/>
          <w:color w:val="000000"/>
        </w:rPr>
      </w:pPr>
      <w:r w:rsidRPr="00202C1F">
        <w:rPr>
          <w:rFonts w:ascii="Arial Narrow" w:hAnsi="Arial Narrow"/>
        </w:rPr>
        <w:t xml:space="preserve">To the extent they are deductible on Form 1040 Schedule C (business mortgage payments); </w:t>
      </w:r>
    </w:p>
    <w:p w14:paraId="700B8C4D" w14:textId="77777777" w:rsidR="0080039D" w:rsidRPr="00202C1F" w:rsidRDefault="0080039D" w:rsidP="00A0760F">
      <w:pPr>
        <w:pStyle w:val="ListParagraph"/>
        <w:numPr>
          <w:ilvl w:val="0"/>
          <w:numId w:val="41"/>
        </w:numPr>
        <w:spacing w:before="120" w:after="120"/>
        <w:jc w:val="both"/>
        <w:rPr>
          <w:rFonts w:ascii="Arial Narrow" w:hAnsi="Arial Narrow" w:cs="Arial"/>
          <w:color w:val="000000"/>
        </w:rPr>
      </w:pPr>
      <w:r w:rsidRPr="00202C1F">
        <w:rPr>
          <w:rFonts w:ascii="Arial Narrow" w:hAnsi="Arial Narrow"/>
        </w:rPr>
        <w:t xml:space="preserve">Rent payments on lease agreements: </w:t>
      </w:r>
    </w:p>
    <w:p w14:paraId="6AF1600F" w14:textId="77777777" w:rsidR="0080039D" w:rsidRPr="00202C1F" w:rsidRDefault="0080039D" w:rsidP="00A0760F">
      <w:pPr>
        <w:pStyle w:val="ListParagraph"/>
        <w:numPr>
          <w:ilvl w:val="1"/>
          <w:numId w:val="41"/>
        </w:numPr>
        <w:spacing w:before="120" w:after="120"/>
        <w:jc w:val="both"/>
        <w:rPr>
          <w:rFonts w:ascii="Arial Narrow" w:hAnsi="Arial Narrow" w:cs="Arial"/>
          <w:color w:val="000000"/>
        </w:rPr>
      </w:pPr>
      <w:r w:rsidRPr="00202C1F">
        <w:rPr>
          <w:rFonts w:ascii="Arial Narrow" w:hAnsi="Arial Narrow"/>
        </w:rPr>
        <w:t>In force before February 15, 2020,</w:t>
      </w:r>
    </w:p>
    <w:p w14:paraId="7A7A48EF" w14:textId="77777777" w:rsidR="0080039D" w:rsidRPr="00202C1F" w:rsidRDefault="0080039D" w:rsidP="00A0760F">
      <w:pPr>
        <w:pStyle w:val="ListParagraph"/>
        <w:numPr>
          <w:ilvl w:val="1"/>
          <w:numId w:val="41"/>
        </w:numPr>
        <w:spacing w:before="120" w:after="120"/>
        <w:jc w:val="both"/>
        <w:rPr>
          <w:rFonts w:ascii="Arial Narrow" w:hAnsi="Arial Narrow" w:cs="Arial"/>
          <w:color w:val="000000"/>
        </w:rPr>
      </w:pPr>
      <w:r w:rsidRPr="00202C1F">
        <w:rPr>
          <w:rFonts w:ascii="Arial Narrow" w:hAnsi="Arial Narrow"/>
        </w:rPr>
        <w:t xml:space="preserve">To the extent they are deductible on Form 1040 Schedule C (business rent payments); and </w:t>
      </w:r>
    </w:p>
    <w:p w14:paraId="7D5AB656" w14:textId="77777777" w:rsidR="0080039D" w:rsidRPr="00202C1F" w:rsidRDefault="0080039D" w:rsidP="00A0760F">
      <w:pPr>
        <w:pStyle w:val="ListParagraph"/>
        <w:numPr>
          <w:ilvl w:val="0"/>
          <w:numId w:val="41"/>
        </w:numPr>
        <w:spacing w:before="120" w:after="120"/>
        <w:jc w:val="both"/>
        <w:rPr>
          <w:rFonts w:ascii="Arial Narrow" w:hAnsi="Arial Narrow" w:cs="Arial"/>
          <w:color w:val="000000"/>
        </w:rPr>
      </w:pPr>
      <w:r w:rsidRPr="00202C1F">
        <w:rPr>
          <w:rFonts w:ascii="Arial Narrow" w:hAnsi="Arial Narrow"/>
        </w:rPr>
        <w:t xml:space="preserve">Utility payments under service agreements </w:t>
      </w:r>
    </w:p>
    <w:p w14:paraId="47D31CBE" w14:textId="77777777" w:rsidR="0080039D" w:rsidRPr="00202C1F" w:rsidRDefault="0080039D" w:rsidP="00A0760F">
      <w:pPr>
        <w:pStyle w:val="ListParagraph"/>
        <w:numPr>
          <w:ilvl w:val="1"/>
          <w:numId w:val="41"/>
        </w:numPr>
        <w:spacing w:before="120" w:after="120"/>
        <w:jc w:val="both"/>
        <w:rPr>
          <w:rFonts w:ascii="Arial Narrow" w:hAnsi="Arial Narrow" w:cs="Arial"/>
          <w:color w:val="000000"/>
        </w:rPr>
      </w:pPr>
      <w:r w:rsidRPr="00202C1F">
        <w:rPr>
          <w:rFonts w:ascii="Arial Narrow" w:hAnsi="Arial Narrow"/>
        </w:rPr>
        <w:t>Dated before February 15, 2020</w:t>
      </w:r>
    </w:p>
    <w:p w14:paraId="74C4CB88" w14:textId="00E76324" w:rsidR="0080039D" w:rsidRPr="00202C1F" w:rsidRDefault="0080039D" w:rsidP="00A0760F">
      <w:pPr>
        <w:pStyle w:val="ListParagraph"/>
        <w:numPr>
          <w:ilvl w:val="1"/>
          <w:numId w:val="41"/>
        </w:numPr>
        <w:spacing w:before="120" w:after="120"/>
        <w:jc w:val="both"/>
        <w:rPr>
          <w:rFonts w:ascii="Arial Narrow" w:hAnsi="Arial Narrow" w:cs="Arial"/>
          <w:color w:val="000000"/>
        </w:rPr>
      </w:pPr>
      <w:r w:rsidRPr="00202C1F">
        <w:rPr>
          <w:rFonts w:ascii="Arial Narrow" w:hAnsi="Arial Narrow"/>
        </w:rPr>
        <w:t>To the extent they are deductible on Form 1040 Schedule C (business utility payments).</w:t>
      </w:r>
    </w:p>
    <w:p w14:paraId="7026D90D" w14:textId="17F21BD1" w:rsidR="00816065" w:rsidRPr="00202C1F" w:rsidRDefault="00007CF5" w:rsidP="00A0760F">
      <w:pPr>
        <w:spacing w:before="120" w:after="120"/>
        <w:jc w:val="both"/>
        <w:rPr>
          <w:rFonts w:ascii="Arial Narrow" w:hAnsi="Arial Narrow" w:cs="Arial"/>
          <w:color w:val="000000"/>
        </w:rPr>
      </w:pPr>
      <w:r w:rsidRPr="00202C1F">
        <w:rPr>
          <w:rFonts w:ascii="Arial Narrow" w:hAnsi="Arial Narrow" w:cs="Arial"/>
          <w:color w:val="000000"/>
        </w:rPr>
        <w:t xml:space="preserve">Additionally, SBA also has the option for pre-purchase that allows lenders to submit the expected amount of funds spent after seven weeks from the date of the loan’s disbursement.  SBA will purchase the expected forgiveness amount within fifteen days. </w:t>
      </w:r>
    </w:p>
    <w:p w14:paraId="4C64C605" w14:textId="77777777" w:rsidR="00CA446B" w:rsidRPr="00202C1F" w:rsidRDefault="00CA446B" w:rsidP="00A0760F">
      <w:pPr>
        <w:spacing w:before="120" w:after="120"/>
        <w:jc w:val="both"/>
        <w:rPr>
          <w:rFonts w:ascii="Arial Narrow" w:hAnsi="Arial Narrow" w:cs="Arial"/>
          <w:color w:val="000000"/>
        </w:rPr>
      </w:pPr>
      <w:r w:rsidRPr="00202C1F">
        <w:rPr>
          <w:rFonts w:ascii="Arial Narrow" w:hAnsi="Arial Narrow" w:cs="Arial"/>
          <w:color w:val="000000"/>
        </w:rPr>
        <w:t>Lenders can submit a loan or a pool of loans for advance purchase in a report with the expected forgiveness amount to the SBA. This report must include the following:</w:t>
      </w:r>
    </w:p>
    <w:p w14:paraId="24BEBBDA" w14:textId="77777777" w:rsidR="00CA446B" w:rsidRPr="00202C1F" w:rsidRDefault="00CA446B" w:rsidP="00A0760F">
      <w:pPr>
        <w:pStyle w:val="ListParagraph"/>
        <w:numPr>
          <w:ilvl w:val="0"/>
          <w:numId w:val="39"/>
        </w:numPr>
        <w:spacing w:before="120" w:after="120"/>
        <w:jc w:val="both"/>
        <w:rPr>
          <w:rFonts w:ascii="Arial Narrow" w:hAnsi="Arial Narrow" w:cs="Arial"/>
          <w:color w:val="000000"/>
        </w:rPr>
      </w:pPr>
      <w:r w:rsidRPr="00202C1F">
        <w:rPr>
          <w:rFonts w:ascii="Arial Narrow" w:hAnsi="Arial Narrow"/>
        </w:rPr>
        <w:t>PPP Application Form: (SBA Form 2483)</w:t>
      </w:r>
    </w:p>
    <w:p w14:paraId="2B03A6BA" w14:textId="77777777" w:rsidR="00CA446B" w:rsidRPr="00202C1F" w:rsidRDefault="00CA446B" w:rsidP="00A0760F">
      <w:pPr>
        <w:pStyle w:val="ListParagraph"/>
        <w:numPr>
          <w:ilvl w:val="0"/>
          <w:numId w:val="39"/>
        </w:numPr>
        <w:spacing w:before="120" w:after="120"/>
        <w:jc w:val="both"/>
        <w:rPr>
          <w:rFonts w:ascii="Arial Narrow" w:hAnsi="Arial Narrow" w:cs="Arial"/>
          <w:color w:val="000000"/>
        </w:rPr>
      </w:pPr>
      <w:r w:rsidRPr="00202C1F">
        <w:rPr>
          <w:rFonts w:ascii="Arial Narrow" w:hAnsi="Arial Narrow"/>
        </w:rPr>
        <w:t>Any supporting documentation submitted with the PPP Application Form,</w:t>
      </w:r>
    </w:p>
    <w:p w14:paraId="1C06CA56" w14:textId="77777777" w:rsidR="00CA446B" w:rsidRPr="00202C1F" w:rsidRDefault="00CA446B" w:rsidP="00A0760F">
      <w:pPr>
        <w:pStyle w:val="ListParagraph"/>
        <w:numPr>
          <w:ilvl w:val="0"/>
          <w:numId w:val="39"/>
        </w:numPr>
        <w:spacing w:before="120" w:after="120"/>
        <w:jc w:val="both"/>
        <w:rPr>
          <w:rFonts w:ascii="Arial Narrow" w:hAnsi="Arial Narrow" w:cs="Arial"/>
          <w:color w:val="000000"/>
        </w:rPr>
      </w:pPr>
      <w:r w:rsidRPr="00202C1F">
        <w:rPr>
          <w:rFonts w:ascii="Arial Narrow" w:hAnsi="Arial Narrow"/>
        </w:rPr>
        <w:t>PPP Lender’s Application for 7(a) Loan Guaranty (SBA Form 2484)</w:t>
      </w:r>
    </w:p>
    <w:p w14:paraId="23E4406D" w14:textId="77777777" w:rsidR="00CA446B" w:rsidRPr="00202C1F" w:rsidRDefault="00CA446B" w:rsidP="00A0760F">
      <w:pPr>
        <w:pStyle w:val="ListParagraph"/>
        <w:numPr>
          <w:ilvl w:val="0"/>
          <w:numId w:val="39"/>
        </w:numPr>
        <w:spacing w:before="120" w:after="120"/>
        <w:jc w:val="both"/>
        <w:rPr>
          <w:rFonts w:ascii="Arial Narrow" w:hAnsi="Arial Narrow" w:cs="Arial"/>
          <w:color w:val="000000"/>
        </w:rPr>
      </w:pPr>
      <w:r w:rsidRPr="00202C1F">
        <w:rPr>
          <w:rFonts w:ascii="Arial Narrow" w:hAnsi="Arial Narrow"/>
        </w:rPr>
        <w:t>Any supporting documentation submitted with the PPP Lenders Application.</w:t>
      </w:r>
    </w:p>
    <w:p w14:paraId="3E627196" w14:textId="77777777" w:rsidR="0080039D" w:rsidRPr="00202C1F" w:rsidRDefault="00CA446B" w:rsidP="00A0760F">
      <w:pPr>
        <w:pStyle w:val="ListParagraph"/>
        <w:numPr>
          <w:ilvl w:val="0"/>
          <w:numId w:val="39"/>
        </w:numPr>
        <w:spacing w:before="120" w:after="120"/>
        <w:jc w:val="both"/>
        <w:rPr>
          <w:rFonts w:ascii="Arial Narrow" w:hAnsi="Arial Narrow" w:cs="Arial"/>
          <w:color w:val="000000"/>
        </w:rPr>
      </w:pPr>
      <w:r w:rsidRPr="00202C1F">
        <w:rPr>
          <w:rFonts w:ascii="Arial Narrow" w:hAnsi="Arial Narrow"/>
        </w:rPr>
        <w:t>A detailed narrative explaining:</w:t>
      </w:r>
      <w:r w:rsidR="0080039D" w:rsidRPr="00202C1F">
        <w:rPr>
          <w:rFonts w:ascii="Arial Narrow" w:hAnsi="Arial Narrow"/>
        </w:rPr>
        <w:t xml:space="preserve"> </w:t>
      </w:r>
    </w:p>
    <w:p w14:paraId="059829D9" w14:textId="77777777" w:rsidR="0080039D" w:rsidRPr="00202C1F" w:rsidRDefault="00CA446B" w:rsidP="00A0760F">
      <w:pPr>
        <w:pStyle w:val="ListParagraph"/>
        <w:numPr>
          <w:ilvl w:val="1"/>
          <w:numId w:val="39"/>
        </w:numPr>
        <w:spacing w:before="120" w:after="120"/>
        <w:jc w:val="both"/>
        <w:rPr>
          <w:rFonts w:ascii="Arial Narrow" w:hAnsi="Arial Narrow" w:cs="Arial"/>
          <w:color w:val="000000"/>
        </w:rPr>
      </w:pPr>
      <w:r w:rsidRPr="00202C1F">
        <w:rPr>
          <w:rFonts w:ascii="Arial Narrow" w:hAnsi="Arial Narrow"/>
        </w:rPr>
        <w:t>The assumptions used in determining the expected forgiveness amount</w:t>
      </w:r>
    </w:p>
    <w:p w14:paraId="6AAA1FCB" w14:textId="77777777" w:rsidR="0080039D" w:rsidRPr="00202C1F" w:rsidRDefault="00CA446B" w:rsidP="00A0760F">
      <w:pPr>
        <w:pStyle w:val="ListParagraph"/>
        <w:numPr>
          <w:ilvl w:val="1"/>
          <w:numId w:val="39"/>
        </w:numPr>
        <w:spacing w:before="120" w:after="120"/>
        <w:jc w:val="both"/>
        <w:rPr>
          <w:rFonts w:ascii="Arial Narrow" w:hAnsi="Arial Narrow" w:cs="Arial"/>
          <w:color w:val="000000"/>
        </w:rPr>
      </w:pPr>
      <w:r w:rsidRPr="00202C1F">
        <w:rPr>
          <w:rFonts w:ascii="Arial Narrow" w:hAnsi="Arial Narrow"/>
        </w:rPr>
        <w:t>Basis for those assumptions</w:t>
      </w:r>
    </w:p>
    <w:p w14:paraId="1C1FBDAE" w14:textId="77777777" w:rsidR="0080039D" w:rsidRPr="00202C1F" w:rsidRDefault="00CA446B" w:rsidP="00A0760F">
      <w:pPr>
        <w:pStyle w:val="ListParagraph"/>
        <w:numPr>
          <w:ilvl w:val="1"/>
          <w:numId w:val="39"/>
        </w:numPr>
        <w:spacing w:before="120" w:after="120"/>
        <w:jc w:val="both"/>
        <w:rPr>
          <w:rFonts w:ascii="Arial Narrow" w:hAnsi="Arial Narrow" w:cs="Arial"/>
          <w:color w:val="000000"/>
        </w:rPr>
      </w:pPr>
      <w:r w:rsidRPr="00202C1F">
        <w:rPr>
          <w:rFonts w:ascii="Arial Narrow" w:hAnsi="Arial Narrow"/>
        </w:rPr>
        <w:t>Alternative assumptions considered, and</w:t>
      </w:r>
    </w:p>
    <w:p w14:paraId="07F0D88C" w14:textId="4595BA7A" w:rsidR="0080039D" w:rsidRPr="00202C1F" w:rsidRDefault="00CA446B" w:rsidP="00A0760F">
      <w:pPr>
        <w:pStyle w:val="ListParagraph"/>
        <w:numPr>
          <w:ilvl w:val="1"/>
          <w:numId w:val="39"/>
        </w:numPr>
        <w:spacing w:before="120" w:after="120"/>
        <w:jc w:val="both"/>
        <w:rPr>
          <w:rFonts w:ascii="Arial Narrow" w:hAnsi="Arial Narrow" w:cs="Arial"/>
          <w:color w:val="000000"/>
        </w:rPr>
      </w:pPr>
      <w:r w:rsidRPr="00202C1F">
        <w:rPr>
          <w:rFonts w:ascii="Arial Narrow" w:hAnsi="Arial Narrow"/>
        </w:rPr>
        <w:t xml:space="preserve">Why alternative assumptions were not used. </w:t>
      </w:r>
    </w:p>
    <w:p w14:paraId="769D0C14" w14:textId="77777777" w:rsidR="0080039D" w:rsidRPr="00202C1F" w:rsidRDefault="00CA446B" w:rsidP="00A0760F">
      <w:pPr>
        <w:pStyle w:val="ListParagraph"/>
        <w:numPr>
          <w:ilvl w:val="0"/>
          <w:numId w:val="39"/>
        </w:numPr>
        <w:spacing w:before="120" w:after="120"/>
        <w:jc w:val="both"/>
        <w:rPr>
          <w:rFonts w:ascii="Arial Narrow" w:hAnsi="Arial Narrow" w:cs="Arial"/>
          <w:color w:val="000000"/>
        </w:rPr>
      </w:pPr>
      <w:r w:rsidRPr="00202C1F">
        <w:rPr>
          <w:rFonts w:ascii="Arial Narrow" w:hAnsi="Arial Narrow"/>
        </w:rPr>
        <w:t>Any information obtained from the borrower since the loan was disbursed that the lender used to determine the expected forgiveness amount, which should include the same documentation required to apply for loan forgiveness, such as:</w:t>
      </w:r>
    </w:p>
    <w:p w14:paraId="5CDE348F" w14:textId="77777777" w:rsidR="0080039D" w:rsidRPr="00202C1F" w:rsidRDefault="00CA446B" w:rsidP="00A0760F">
      <w:pPr>
        <w:pStyle w:val="ListParagraph"/>
        <w:numPr>
          <w:ilvl w:val="1"/>
          <w:numId w:val="39"/>
        </w:numPr>
        <w:spacing w:before="120" w:after="120"/>
        <w:jc w:val="both"/>
        <w:rPr>
          <w:rFonts w:ascii="Arial Narrow" w:hAnsi="Arial Narrow" w:cs="Arial"/>
          <w:color w:val="000000"/>
        </w:rPr>
      </w:pPr>
      <w:r w:rsidRPr="00202C1F">
        <w:rPr>
          <w:rFonts w:ascii="Arial Narrow" w:hAnsi="Arial Narrow"/>
        </w:rPr>
        <w:t>Payroll tax filings,</w:t>
      </w:r>
    </w:p>
    <w:p w14:paraId="7B309991" w14:textId="77777777" w:rsidR="0080039D" w:rsidRPr="00202C1F" w:rsidRDefault="00CA446B" w:rsidP="00A0760F">
      <w:pPr>
        <w:pStyle w:val="ListParagraph"/>
        <w:numPr>
          <w:ilvl w:val="1"/>
          <w:numId w:val="39"/>
        </w:numPr>
        <w:spacing w:before="120" w:after="120"/>
        <w:jc w:val="both"/>
        <w:rPr>
          <w:rFonts w:ascii="Arial Narrow" w:hAnsi="Arial Narrow" w:cs="Arial"/>
          <w:color w:val="000000"/>
        </w:rPr>
      </w:pPr>
      <w:r w:rsidRPr="00202C1F">
        <w:rPr>
          <w:rFonts w:ascii="Arial Narrow" w:hAnsi="Arial Narrow"/>
        </w:rPr>
        <w:t>Cancelled checks, and</w:t>
      </w:r>
    </w:p>
    <w:p w14:paraId="47122D13" w14:textId="51E938B0" w:rsidR="0080039D" w:rsidRPr="00202C1F" w:rsidRDefault="00CA446B" w:rsidP="00A0760F">
      <w:pPr>
        <w:pStyle w:val="ListParagraph"/>
        <w:numPr>
          <w:ilvl w:val="1"/>
          <w:numId w:val="39"/>
        </w:numPr>
        <w:spacing w:before="120" w:after="120"/>
        <w:jc w:val="both"/>
        <w:rPr>
          <w:rFonts w:ascii="Arial Narrow" w:hAnsi="Arial Narrow" w:cs="Arial"/>
          <w:color w:val="000000"/>
        </w:rPr>
      </w:pPr>
      <w:r w:rsidRPr="00202C1F">
        <w:rPr>
          <w:rFonts w:ascii="Arial Narrow" w:hAnsi="Arial Narrow"/>
        </w:rPr>
        <w:t xml:space="preserve">Other payment documentation. </w:t>
      </w:r>
    </w:p>
    <w:p w14:paraId="1E94B506" w14:textId="5DAAF1E6" w:rsidR="00816065" w:rsidRPr="00202C1F" w:rsidRDefault="00CA446B" w:rsidP="00A0760F">
      <w:pPr>
        <w:pStyle w:val="ListParagraph"/>
        <w:numPr>
          <w:ilvl w:val="0"/>
          <w:numId w:val="39"/>
        </w:numPr>
        <w:spacing w:before="120" w:after="120"/>
        <w:jc w:val="both"/>
        <w:rPr>
          <w:rFonts w:ascii="Arial Narrow" w:hAnsi="Arial Narrow" w:cs="Arial"/>
          <w:color w:val="000000"/>
        </w:rPr>
      </w:pPr>
      <w:r w:rsidRPr="00202C1F">
        <w:rPr>
          <w:rFonts w:ascii="Arial Narrow" w:hAnsi="Arial Narrow"/>
        </w:rPr>
        <w:lastRenderedPageBreak/>
        <w:t xml:space="preserve">Any additional information the SBA may require </w:t>
      </w:r>
      <w:r w:rsidR="0080039D" w:rsidRPr="00202C1F">
        <w:rPr>
          <w:rFonts w:ascii="Arial Narrow" w:hAnsi="Arial Narrow"/>
        </w:rPr>
        <w:t>determining</w:t>
      </w:r>
      <w:r w:rsidRPr="00202C1F">
        <w:rPr>
          <w:rFonts w:ascii="Arial Narrow" w:hAnsi="Arial Narrow"/>
        </w:rPr>
        <w:t xml:space="preserve"> whether the expected forgiveness amount is reasonable. </w:t>
      </w:r>
      <w:r w:rsidRPr="00202C1F">
        <w:rPr>
          <w:rFonts w:ascii="Arial Narrow" w:hAnsi="Arial Narrow" w:cs="Arial"/>
          <w:color w:val="000000"/>
        </w:rPr>
        <w:t xml:space="preserve"> </w:t>
      </w:r>
    </w:p>
    <w:p w14:paraId="6F44A55C" w14:textId="7C358EDB" w:rsidR="00816065" w:rsidRPr="00202C1F" w:rsidRDefault="00816065" w:rsidP="00A0760F">
      <w:pPr>
        <w:numPr>
          <w:ilvl w:val="0"/>
          <w:numId w:val="29"/>
        </w:numPr>
        <w:spacing w:before="120" w:after="120"/>
        <w:jc w:val="both"/>
        <w:rPr>
          <w:rFonts w:ascii="Arial Narrow" w:hAnsi="Arial Narrow" w:cs="Arial"/>
          <w:b/>
          <w:bCs/>
          <w:color w:val="000000"/>
        </w:rPr>
      </w:pPr>
      <w:r w:rsidRPr="00202C1F">
        <w:rPr>
          <w:rFonts w:ascii="Arial Narrow" w:hAnsi="Arial Narrow" w:cs="Arial"/>
          <w:b/>
          <w:bCs/>
          <w:color w:val="000000"/>
        </w:rPr>
        <w:t>How are banks supposed to report PPP loans to the credit bureaus?</w:t>
      </w:r>
    </w:p>
    <w:p w14:paraId="2DB66CB5" w14:textId="2DDE7C04" w:rsidR="00816065" w:rsidRPr="00202C1F" w:rsidRDefault="0019716C" w:rsidP="00A0760F">
      <w:pPr>
        <w:spacing w:before="120" w:after="120"/>
        <w:jc w:val="both"/>
        <w:rPr>
          <w:rFonts w:ascii="Arial Narrow" w:hAnsi="Arial Narrow" w:cs="Arial"/>
          <w:color w:val="000000"/>
        </w:rPr>
      </w:pPr>
      <w:r w:rsidRPr="00202C1F">
        <w:rPr>
          <w:rFonts w:ascii="Arial Narrow" w:hAnsi="Arial Narrow" w:cs="Arial"/>
          <w:color w:val="000000"/>
        </w:rPr>
        <w:t>The</w:t>
      </w:r>
      <w:r w:rsidR="00401667" w:rsidRPr="00202C1F">
        <w:rPr>
          <w:rFonts w:ascii="Arial Narrow" w:hAnsi="Arial Narrow" w:cs="Arial"/>
          <w:color w:val="000000"/>
        </w:rPr>
        <w:t xml:space="preserve">re is a general requirement to report SBA loans. </w:t>
      </w:r>
    </w:p>
    <w:p w14:paraId="3FC2FCA6" w14:textId="70DBB5F8" w:rsidR="00401667" w:rsidRPr="00202C1F" w:rsidRDefault="00401667" w:rsidP="00A0760F">
      <w:pPr>
        <w:spacing w:before="120" w:after="120"/>
        <w:ind w:left="360"/>
        <w:jc w:val="both"/>
        <w:rPr>
          <w:rFonts w:ascii="Arial Narrow" w:hAnsi="Arial Narrow" w:cs="Segoe UI"/>
          <w:color w:val="2F3941"/>
        </w:rPr>
      </w:pPr>
      <w:r w:rsidRPr="00202C1F">
        <w:rPr>
          <w:rFonts w:ascii="Arial Narrow" w:hAnsi="Arial Narrow" w:cs="Segoe UI"/>
          <w:color w:val="2F3941"/>
          <w:shd w:val="clear" w:color="auto" w:fill="FFFFFF"/>
        </w:rPr>
        <w:t>"2. Reports to Credit Reporting Agencies In accordance with the Debt Collection Improvement Act of 1996, Lenders are required to report information to the appropriate credit reporting agencies whenever they extend credit via an SBA loan. Thereafter, they should continue to routinely report information concerning servicing, liquidation, and charge-off activities throughout the lifecycle of the loan. (See Chapter 26 for more information regarding credit reporting requirements for loans in charge-off status.) “...”</w:t>
      </w:r>
      <w:r w:rsidRPr="00202C1F">
        <w:rPr>
          <w:rFonts w:ascii="Arial Narrow" w:hAnsi="Arial Narrow" w:cs="Segoe UI"/>
          <w:color w:val="2F3941"/>
        </w:rPr>
        <w:t xml:space="preserve"> </w:t>
      </w:r>
    </w:p>
    <w:p w14:paraId="4B4862F8" w14:textId="37E0CDDA" w:rsidR="00816065" w:rsidRPr="00202C1F" w:rsidRDefault="00401667" w:rsidP="00A0760F">
      <w:pPr>
        <w:spacing w:before="120" w:after="120"/>
        <w:jc w:val="right"/>
        <w:rPr>
          <w:rFonts w:ascii="Arial Narrow" w:hAnsi="Arial Narrow" w:cs="Segoe UI"/>
          <w:color w:val="2F3941"/>
          <w:shd w:val="clear" w:color="auto" w:fill="FFFFFF"/>
        </w:rPr>
      </w:pPr>
      <w:r w:rsidRPr="00202C1F">
        <w:rPr>
          <w:rFonts w:ascii="Arial Narrow" w:hAnsi="Arial Narrow" w:cs="Segoe UI"/>
          <w:color w:val="2F3941"/>
        </w:rPr>
        <w:t xml:space="preserve">Resource: </w:t>
      </w:r>
      <w:hyperlink r:id="rId29" w:history="1">
        <w:r w:rsidRPr="00202C1F">
          <w:rPr>
            <w:rStyle w:val="Hyperlink"/>
            <w:rFonts w:ascii="Arial Narrow" w:hAnsi="Arial Narrow" w:cs="Segoe UI"/>
            <w:shd w:val="clear" w:color="auto" w:fill="FFFFFF"/>
          </w:rPr>
          <w:t>https://www.sba.gov/sites/default/files/files/SOP_50_57_2_1.pdf</w:t>
        </w:r>
      </w:hyperlink>
      <w:r w:rsidRPr="00202C1F">
        <w:rPr>
          <w:rFonts w:ascii="Arial Narrow" w:hAnsi="Arial Narrow" w:cs="Segoe UI"/>
          <w:color w:val="2F3941"/>
        </w:rPr>
        <w:t xml:space="preserve"> </w:t>
      </w:r>
      <w:r w:rsidRPr="00202C1F">
        <w:rPr>
          <w:rFonts w:ascii="Arial Narrow" w:hAnsi="Arial Narrow" w:cs="Segoe UI"/>
          <w:color w:val="2F3941"/>
          <w:shd w:val="clear" w:color="auto" w:fill="FFFFFF"/>
        </w:rPr>
        <w:t>at pg. 28 </w:t>
      </w:r>
    </w:p>
    <w:p w14:paraId="4645E742" w14:textId="067BDD33" w:rsidR="00816065" w:rsidRPr="00202C1F" w:rsidRDefault="00401667" w:rsidP="00A0760F">
      <w:pPr>
        <w:spacing w:before="120" w:after="120"/>
        <w:rPr>
          <w:rFonts w:ascii="Arial Narrow" w:hAnsi="Arial Narrow" w:cs="Segoe UI"/>
          <w:color w:val="2F3941"/>
          <w:shd w:val="clear" w:color="auto" w:fill="FFFFFF"/>
        </w:rPr>
      </w:pPr>
      <w:r w:rsidRPr="00202C1F">
        <w:rPr>
          <w:rFonts w:ascii="Arial Narrow" w:hAnsi="Arial Narrow" w:cs="Segoe UI"/>
          <w:color w:val="2F3941"/>
          <w:shd w:val="clear" w:color="auto" w:fill="FFFFFF"/>
        </w:rPr>
        <w:t>This requirement was not specifically cross referenced in the PPP rules, so while it appears that this requirement applies to PPP loans it is not entirely clear. </w:t>
      </w:r>
    </w:p>
    <w:p w14:paraId="428C4D86" w14:textId="4510E956" w:rsidR="00816065" w:rsidRPr="00202C1F" w:rsidRDefault="00401667" w:rsidP="00A0760F">
      <w:pPr>
        <w:spacing w:before="120" w:after="120"/>
        <w:rPr>
          <w:rFonts w:ascii="Arial Narrow" w:hAnsi="Arial Narrow" w:cs="Segoe UI"/>
          <w:color w:val="2F3941"/>
          <w:shd w:val="clear" w:color="auto" w:fill="FFFFFF"/>
        </w:rPr>
      </w:pPr>
      <w:r w:rsidRPr="00202C1F">
        <w:rPr>
          <w:rFonts w:ascii="Arial Narrow" w:hAnsi="Arial Narrow" w:cs="Segoe UI"/>
          <w:color w:val="2F3941"/>
          <w:shd w:val="clear" w:color="auto" w:fill="FFFFFF"/>
        </w:rPr>
        <w:t xml:space="preserve">However, that does not change a bank’s responsibilities to report SBA Form 1502 monthly by participating in the PPP—this information is collecting payment and loan information, and the forms must be submitted to SBA’s 7(a) Fiscal and Transfer Agent, Colson Services Corp. </w:t>
      </w:r>
    </w:p>
    <w:p w14:paraId="34D466CD" w14:textId="3312FD18" w:rsidR="00816065" w:rsidRPr="00202C1F" w:rsidRDefault="00401667" w:rsidP="00A0760F">
      <w:pPr>
        <w:spacing w:before="120" w:after="120"/>
        <w:rPr>
          <w:rFonts w:ascii="Arial Narrow" w:hAnsi="Arial Narrow" w:cs="Segoe UI"/>
          <w:color w:val="2F3941"/>
          <w:shd w:val="clear" w:color="auto" w:fill="FFFFFF"/>
        </w:rPr>
      </w:pPr>
      <w:r w:rsidRPr="00202C1F">
        <w:rPr>
          <w:rFonts w:ascii="Arial Narrow" w:hAnsi="Arial Narrow" w:cs="Segoe UI"/>
          <w:color w:val="2F3941"/>
          <w:shd w:val="clear" w:color="auto" w:fill="FFFFFF"/>
        </w:rPr>
        <w:t>See general resources here:</w:t>
      </w:r>
    </w:p>
    <w:p w14:paraId="7A844F31" w14:textId="32FFF2C8" w:rsidR="00816065" w:rsidRPr="00202C1F" w:rsidRDefault="00401667" w:rsidP="00A0760F">
      <w:pPr>
        <w:spacing w:before="120" w:after="120"/>
        <w:ind w:left="720"/>
        <w:rPr>
          <w:rFonts w:ascii="Arial Narrow" w:hAnsi="Arial Narrow"/>
        </w:rPr>
      </w:pPr>
      <w:r w:rsidRPr="00202C1F">
        <w:rPr>
          <w:rFonts w:ascii="Arial Narrow" w:hAnsi="Arial Narrow" w:cs="Segoe UI"/>
          <w:color w:val="2F3941"/>
          <w:shd w:val="clear" w:color="auto" w:fill="FFFFFF"/>
        </w:rPr>
        <w:t xml:space="preserve">SBA Form 1502 and Instructions: </w:t>
      </w:r>
      <w:hyperlink r:id="rId30" w:history="1">
        <w:r w:rsidRPr="00202C1F">
          <w:rPr>
            <w:rStyle w:val="Hyperlink"/>
            <w:rFonts w:ascii="Arial Narrow" w:hAnsi="Arial Narrow"/>
          </w:rPr>
          <w:t>https://www.sba.gov/document/sba-form-1502-sba-form-1502-instructions</w:t>
        </w:r>
      </w:hyperlink>
    </w:p>
    <w:p w14:paraId="38F9F5E2" w14:textId="5478CD95" w:rsidR="00816065" w:rsidRPr="00202C1F" w:rsidRDefault="00401667" w:rsidP="00A0760F">
      <w:pPr>
        <w:spacing w:before="120" w:after="120"/>
        <w:rPr>
          <w:rFonts w:ascii="Arial Narrow" w:hAnsi="Arial Narrow" w:cs="Segoe UI"/>
          <w:color w:val="2F3941"/>
          <w:shd w:val="clear" w:color="auto" w:fill="FFFFFF"/>
        </w:rPr>
      </w:pPr>
      <w:r w:rsidRPr="00202C1F">
        <w:rPr>
          <w:rFonts w:ascii="Arial Narrow" w:hAnsi="Arial Narrow" w:cs="Segoe UI"/>
          <w:color w:val="2F3941"/>
          <w:shd w:val="clear" w:color="auto" w:fill="FFFFFF"/>
        </w:rPr>
        <w:tab/>
        <w:t xml:space="preserve">Colson: </w:t>
      </w:r>
      <w:hyperlink r:id="rId31" w:history="1">
        <w:r w:rsidRPr="00202C1F">
          <w:rPr>
            <w:rStyle w:val="Hyperlink"/>
            <w:rFonts w:ascii="Arial Narrow" w:hAnsi="Arial Narrow"/>
          </w:rPr>
          <w:t>https://colsonservices.bnymellon.com/index.jsp</w:t>
        </w:r>
      </w:hyperlink>
    </w:p>
    <w:p w14:paraId="1AEB3FAC" w14:textId="2A7926D6" w:rsidR="00816065" w:rsidRPr="00202C1F" w:rsidRDefault="0031681C" w:rsidP="00B47167">
      <w:pPr>
        <w:pStyle w:val="ListParagraph"/>
        <w:numPr>
          <w:ilvl w:val="0"/>
          <w:numId w:val="29"/>
        </w:numPr>
        <w:spacing w:before="120" w:after="120"/>
        <w:jc w:val="both"/>
        <w:rPr>
          <w:rFonts w:ascii="Arial Narrow" w:hAnsi="Arial Narrow" w:cs="Arial"/>
          <w:b/>
          <w:bCs/>
          <w:color w:val="000000"/>
        </w:rPr>
      </w:pPr>
      <w:r w:rsidRPr="00202C1F">
        <w:rPr>
          <w:rFonts w:ascii="Arial Narrow" w:hAnsi="Arial Narrow" w:cs="Arial"/>
          <w:b/>
          <w:bCs/>
          <w:color w:val="000000"/>
        </w:rPr>
        <w:t xml:space="preserve">Stimulus checks garnishment, overdrafts, </w:t>
      </w:r>
      <w:r w:rsidR="002412FE" w:rsidRPr="00202C1F">
        <w:rPr>
          <w:rFonts w:ascii="Arial Narrow" w:hAnsi="Arial Narrow" w:cs="Arial"/>
          <w:b/>
          <w:bCs/>
          <w:color w:val="000000"/>
        </w:rPr>
        <w:t>O</w:t>
      </w:r>
      <w:r w:rsidRPr="00202C1F">
        <w:rPr>
          <w:rFonts w:ascii="Arial Narrow" w:hAnsi="Arial Narrow" w:cs="Arial"/>
          <w:b/>
          <w:bCs/>
          <w:color w:val="000000"/>
        </w:rPr>
        <w:t xml:space="preserve">h </w:t>
      </w:r>
      <w:r w:rsidR="002412FE" w:rsidRPr="00202C1F">
        <w:rPr>
          <w:rFonts w:ascii="Arial Narrow" w:hAnsi="Arial Narrow" w:cs="Arial"/>
          <w:b/>
          <w:bCs/>
          <w:color w:val="000000"/>
        </w:rPr>
        <w:t>M</w:t>
      </w:r>
      <w:r w:rsidRPr="00202C1F">
        <w:rPr>
          <w:rFonts w:ascii="Arial Narrow" w:hAnsi="Arial Narrow" w:cs="Arial"/>
          <w:b/>
          <w:bCs/>
          <w:color w:val="000000"/>
        </w:rPr>
        <w:t>y!</w:t>
      </w:r>
    </w:p>
    <w:p w14:paraId="7F377D4F" w14:textId="0D546703" w:rsidR="0031681C" w:rsidRPr="00202C1F" w:rsidRDefault="0031681C" w:rsidP="0031681C">
      <w:pPr>
        <w:spacing w:before="120" w:after="120"/>
        <w:jc w:val="both"/>
        <w:rPr>
          <w:rFonts w:ascii="Arial Narrow" w:hAnsi="Arial Narrow" w:cs="Arial"/>
          <w:color w:val="000000"/>
        </w:rPr>
      </w:pPr>
      <w:r w:rsidRPr="00202C1F">
        <w:rPr>
          <w:rFonts w:ascii="Arial Narrow" w:hAnsi="Arial Narrow" w:cs="Arial"/>
          <w:color w:val="000000"/>
        </w:rPr>
        <w:t xml:space="preserve">Compliance Alliance has posted a COVID-19 CARES Act Stimulus Check FAQ here that answers our most frequent questions regarding the stimulus check program: </w:t>
      </w:r>
      <w:hyperlink r:id="rId32" w:history="1">
        <w:r w:rsidRPr="00202C1F">
          <w:rPr>
            <w:rStyle w:val="Hyperlink"/>
            <w:rFonts w:ascii="Arial Narrow" w:hAnsi="Arial Narrow"/>
          </w:rPr>
          <w:t>https://compliancealliance.com/find-a-tool/tool/covid-19-cares-act-stimulus-check-faqs</w:t>
        </w:r>
      </w:hyperlink>
    </w:p>
    <w:p w14:paraId="121EECE0" w14:textId="00BD8B02" w:rsidR="00816065" w:rsidRPr="00202C1F" w:rsidRDefault="00816065" w:rsidP="00A0760F">
      <w:pPr>
        <w:numPr>
          <w:ilvl w:val="0"/>
          <w:numId w:val="29"/>
        </w:numPr>
        <w:spacing w:before="120" w:after="120"/>
        <w:jc w:val="both"/>
        <w:rPr>
          <w:rFonts w:ascii="Arial Narrow" w:hAnsi="Arial Narrow" w:cs="Arial"/>
          <w:b/>
          <w:bCs/>
          <w:color w:val="000000"/>
        </w:rPr>
      </w:pPr>
      <w:r w:rsidRPr="00202C1F">
        <w:rPr>
          <w:rFonts w:ascii="Arial Narrow" w:hAnsi="Arial Narrow" w:cs="Arial"/>
          <w:b/>
          <w:bCs/>
          <w:color w:val="000000"/>
        </w:rPr>
        <w:t>What is the eligibility of hospital districts within the PPP?</w:t>
      </w:r>
    </w:p>
    <w:p w14:paraId="41823D01" w14:textId="30D47555" w:rsidR="009E0BAB" w:rsidRPr="00202C1F" w:rsidRDefault="00E00647" w:rsidP="00A0760F">
      <w:pPr>
        <w:spacing w:before="120" w:after="120"/>
        <w:jc w:val="both"/>
        <w:rPr>
          <w:rFonts w:ascii="Arial Narrow" w:hAnsi="Arial Narrow" w:cs="Arial"/>
          <w:color w:val="000000"/>
        </w:rPr>
      </w:pPr>
      <w:r w:rsidRPr="00202C1F">
        <w:rPr>
          <w:rFonts w:ascii="Arial Narrow" w:hAnsi="Arial Narrow" w:cs="Arial"/>
          <w:color w:val="000000"/>
        </w:rPr>
        <w:t>Currently, this would depend on the legal entity hospital and how it is structured</w:t>
      </w:r>
      <w:r w:rsidR="009E0BAB" w:rsidRPr="00202C1F">
        <w:rPr>
          <w:rFonts w:ascii="Arial Narrow" w:hAnsi="Arial Narrow" w:cs="Arial"/>
          <w:color w:val="000000"/>
        </w:rPr>
        <w:t xml:space="preserve">.  The current Interim Final Rule lists only certain non-profits and tax-exempt organizations as being eligible for PPP loans.  Compliance Alliance has been receiving a lot of questions regarding county hospitals and whether or not they would be eligible, as the rule stands now. </w:t>
      </w:r>
      <w:r w:rsidR="009E0BAB" w:rsidRPr="00202C1F">
        <w:rPr>
          <w:rFonts w:ascii="Arial Narrow" w:eastAsia="Times New Roman" w:hAnsi="Arial Narrow" w:cs="Segoe UI"/>
        </w:rPr>
        <w:t xml:space="preserve">Officially they’re owned by a local government making them ineligible under the current rules. The Senate is in passed bill for refunding is trying to change that, especially since rural hospitals are being hit hardest. But that is a waiting game to see if it passes the House. </w:t>
      </w:r>
    </w:p>
    <w:p w14:paraId="2C96AC1D" w14:textId="1E4617AF" w:rsidR="00816065" w:rsidRPr="00202C1F" w:rsidRDefault="009E0BAB" w:rsidP="00A0760F">
      <w:pPr>
        <w:spacing w:before="120" w:after="120"/>
        <w:rPr>
          <w:rFonts w:ascii="Arial Narrow" w:eastAsia="Times New Roman" w:hAnsi="Arial Narrow" w:cs="Segoe UI"/>
        </w:rPr>
      </w:pPr>
      <w:r w:rsidRPr="00202C1F">
        <w:rPr>
          <w:rFonts w:ascii="Arial Narrow" w:eastAsia="Times New Roman" w:hAnsi="Arial Narrow" w:cs="Segoe UI"/>
        </w:rPr>
        <w:t>Under the CARES Act, government owned entities are excluded (even though in reality the money these hospitals are receiving is usually minuscule).</w:t>
      </w:r>
    </w:p>
    <w:p w14:paraId="4E217FF7" w14:textId="77777777" w:rsidR="009E0BAB" w:rsidRPr="00202C1F" w:rsidRDefault="009E0BAB" w:rsidP="00A0760F">
      <w:pPr>
        <w:spacing w:before="120" w:after="120"/>
        <w:ind w:firstLine="720"/>
        <w:rPr>
          <w:rFonts w:ascii="Arial Narrow" w:hAnsi="Arial Narrow" w:cs="Segoe UI"/>
        </w:rPr>
      </w:pPr>
      <w:r w:rsidRPr="00202C1F">
        <w:rPr>
          <w:rFonts w:ascii="Arial Narrow" w:hAnsi="Arial Narrow" w:cs="Segoe UI"/>
        </w:rPr>
        <w:t>10. Government-Owned Entities, Excluding Native American Tribes (13 CFR § 120.110(j))</w:t>
      </w:r>
    </w:p>
    <w:p w14:paraId="4677E82F" w14:textId="40E2A272" w:rsidR="00816065" w:rsidRPr="00202C1F" w:rsidRDefault="009E0BAB" w:rsidP="00A0760F">
      <w:pPr>
        <w:spacing w:before="120" w:after="120"/>
        <w:rPr>
          <w:rFonts w:ascii="Arial Narrow" w:hAnsi="Arial Narrow" w:cs="Segoe UI"/>
        </w:rPr>
      </w:pPr>
      <w:r w:rsidRPr="00202C1F">
        <w:rPr>
          <w:rFonts w:ascii="Arial Narrow" w:hAnsi="Arial Narrow" w:cs="Segoe UI"/>
        </w:rPr>
        <w:t xml:space="preserve">  </w:t>
      </w:r>
      <w:r w:rsidRPr="00202C1F">
        <w:rPr>
          <w:rFonts w:ascii="Arial Narrow" w:hAnsi="Arial Narrow" w:cs="Segoe UI"/>
        </w:rPr>
        <w:tab/>
      </w:r>
      <w:r w:rsidRPr="00202C1F">
        <w:rPr>
          <w:rFonts w:ascii="Arial Narrow" w:hAnsi="Arial Narrow" w:cs="Segoe UI"/>
        </w:rPr>
        <w:tab/>
        <w:t> - a. Businesses owned by municipalities and other political subdivisions are not eligible.</w:t>
      </w:r>
    </w:p>
    <w:p w14:paraId="517EC6EE" w14:textId="441DD02E" w:rsidR="00816065" w:rsidRPr="00202C1F" w:rsidRDefault="0019716C" w:rsidP="00A0760F">
      <w:pPr>
        <w:spacing w:before="120" w:after="120"/>
        <w:jc w:val="right"/>
        <w:rPr>
          <w:rFonts w:ascii="Arial Narrow" w:eastAsia="Times New Roman" w:hAnsi="Arial Narrow" w:cs="Segoe UI"/>
        </w:rPr>
      </w:pPr>
      <w:r w:rsidRPr="00202C1F">
        <w:rPr>
          <w:rFonts w:ascii="Arial Narrow" w:hAnsi="Arial Narrow" w:cs="Segoe UI"/>
        </w:rPr>
        <w:t xml:space="preserve">Resource: </w:t>
      </w:r>
      <w:hyperlink r:id="rId33" w:tgtFrame="_blank" w:tooltip="https://www.sba.gov/sites/default/files/2019-02/sop%2050%2010%205%28k%29%20final%202.15.19%20secured%20copy%20paste.pdf" w:history="1">
        <w:r w:rsidRPr="00202C1F">
          <w:rPr>
            <w:rStyle w:val="Hyperlink"/>
            <w:rFonts w:ascii="Arial Narrow" w:hAnsi="Arial Narrow" w:cs="Segoe UI"/>
          </w:rPr>
          <w:t>https://www.sba.gov/sites/default/files/2019-02/SOP%2050%2010%205%28K%29%20FINAL%202.15.19%20SECURED%20copy%20paste.pdf</w:t>
        </w:r>
      </w:hyperlink>
    </w:p>
    <w:p w14:paraId="101DCA82" w14:textId="6FA5DD62" w:rsidR="00816065" w:rsidRPr="00202C1F" w:rsidRDefault="0024290C" w:rsidP="00A0760F">
      <w:pPr>
        <w:pStyle w:val="ListParagraph"/>
        <w:numPr>
          <w:ilvl w:val="0"/>
          <w:numId w:val="29"/>
        </w:numPr>
        <w:spacing w:before="120" w:after="120"/>
        <w:jc w:val="both"/>
        <w:rPr>
          <w:rFonts w:ascii="Arial Narrow" w:hAnsi="Arial Narrow" w:cs="Arial"/>
          <w:b/>
          <w:bCs/>
          <w:color w:val="000000"/>
        </w:rPr>
      </w:pPr>
      <w:r w:rsidRPr="00202C1F">
        <w:rPr>
          <w:rFonts w:ascii="Arial Narrow" w:hAnsi="Arial Narrow" w:cs="Arial"/>
          <w:b/>
          <w:bCs/>
          <w:color w:val="000000"/>
        </w:rPr>
        <w:lastRenderedPageBreak/>
        <w:t>How are banks to fill out the PPP application box on number of employees when a self-employed sole proprietor does not have any employees?</w:t>
      </w:r>
    </w:p>
    <w:p w14:paraId="637B5D2F" w14:textId="77777777" w:rsidR="00A0760F" w:rsidRPr="00202C1F" w:rsidRDefault="00A0760F" w:rsidP="00A0760F">
      <w:pPr>
        <w:spacing w:before="120" w:after="120"/>
        <w:rPr>
          <w:rFonts w:ascii="Arial Narrow" w:hAnsi="Arial Narrow" w:cs="Arial"/>
          <w:color w:val="000000"/>
        </w:rPr>
      </w:pPr>
      <w:r w:rsidRPr="00202C1F">
        <w:rPr>
          <w:rFonts w:ascii="Arial Narrow" w:hAnsi="Arial Narrow" w:cs="Arial"/>
          <w:color w:val="000000"/>
        </w:rPr>
        <w:t xml:space="preserve">Unfortunately, this remains unclear and requires consistency by the bank until clarifications are provided.  Borrowers are required to certify and report for an independent contractor or sole proprietor their wages, commissions, income, or net earnings from self-employment or similar compensation. </w:t>
      </w:r>
    </w:p>
    <w:p w14:paraId="111A8865" w14:textId="77777777" w:rsidR="00A0760F" w:rsidRPr="00202C1F" w:rsidRDefault="00A0760F" w:rsidP="00A0760F">
      <w:pPr>
        <w:spacing w:before="120" w:after="120"/>
        <w:ind w:firstLine="720"/>
        <w:rPr>
          <w:rFonts w:ascii="Arial Narrow" w:eastAsia="Times New Roman" w:hAnsi="Arial Narrow" w:cs="Segoe UI"/>
        </w:rPr>
      </w:pPr>
      <w:r w:rsidRPr="00202C1F">
        <w:rPr>
          <w:rStyle w:val="Emphasis"/>
          <w:rFonts w:ascii="Arial Narrow" w:hAnsi="Arial Narrow" w:cs="Segoe UI"/>
        </w:rPr>
        <w:t xml:space="preserve">CERTIFICATIONS </w:t>
      </w:r>
    </w:p>
    <w:p w14:paraId="41EF3DB8" w14:textId="77777777" w:rsidR="00A0760F" w:rsidRPr="00202C1F" w:rsidRDefault="00A0760F" w:rsidP="00A0760F">
      <w:pPr>
        <w:spacing w:before="120" w:after="120"/>
        <w:ind w:left="720"/>
        <w:rPr>
          <w:rFonts w:ascii="Arial Narrow" w:hAnsi="Arial Narrow" w:cs="Segoe UI"/>
        </w:rPr>
      </w:pPr>
      <w:r w:rsidRPr="00202C1F">
        <w:rPr>
          <w:rStyle w:val="Emphasis"/>
          <w:rFonts w:ascii="Arial Narrow" w:hAnsi="Arial Narrow" w:cs="Segoe UI"/>
        </w:rPr>
        <w:t xml:space="preserve">The authorized representative of the Applicant must certify in good faith to all of the below by initialing next to each one: </w:t>
      </w:r>
    </w:p>
    <w:p w14:paraId="121F8A12" w14:textId="77777777" w:rsidR="00A0760F" w:rsidRPr="00202C1F" w:rsidRDefault="00A0760F" w:rsidP="00A0760F">
      <w:pPr>
        <w:spacing w:before="120" w:after="120"/>
        <w:ind w:left="720"/>
        <w:rPr>
          <w:rFonts w:ascii="Arial Narrow" w:hAnsi="Arial Narrow" w:cs="Segoe UI"/>
        </w:rPr>
      </w:pPr>
      <w:r w:rsidRPr="00202C1F">
        <w:rPr>
          <w:rStyle w:val="Emphasis"/>
          <w:rFonts w:ascii="Arial Narrow" w:hAnsi="Arial Narrow" w:cs="Segoe UI"/>
        </w:rPr>
        <w:t>_____ The Applicant was in operation on February 15, 2020 and had employees for whom it paid salaries and payroll taxes or paid independent contractors, as reported on Form(s) 1099-MISC.</w:t>
      </w:r>
    </w:p>
    <w:p w14:paraId="5F00A04A" w14:textId="12BD95B3" w:rsidR="00A0760F" w:rsidRPr="00202C1F" w:rsidRDefault="00A0760F" w:rsidP="00A0760F">
      <w:pPr>
        <w:spacing w:before="120" w:after="120"/>
        <w:jc w:val="right"/>
        <w:rPr>
          <w:rFonts w:ascii="Arial Narrow" w:hAnsi="Arial Narrow" w:cs="Segoe UI"/>
        </w:rPr>
      </w:pPr>
      <w:r w:rsidRPr="00202C1F">
        <w:rPr>
          <w:rFonts w:ascii="Arial Narrow" w:hAnsi="Arial Narrow" w:cs="Segoe UI"/>
        </w:rPr>
        <w:t xml:space="preserve">Resource: </w:t>
      </w:r>
      <w:hyperlink r:id="rId34" w:history="1">
        <w:r w:rsidRPr="00202C1F">
          <w:rPr>
            <w:rStyle w:val="Hyperlink"/>
            <w:rFonts w:ascii="Arial Narrow" w:hAnsi="Arial Narrow" w:cs="Segoe UI"/>
          </w:rPr>
          <w:t>https://home.treasury.gov/system/files/136/PPP-Borrower-Application-Form-Fillable.pdf</w:t>
        </w:r>
      </w:hyperlink>
    </w:p>
    <w:p w14:paraId="2F3AD189" w14:textId="77777777" w:rsidR="00A0760F" w:rsidRPr="00202C1F" w:rsidRDefault="00A0760F" w:rsidP="00A0760F">
      <w:pPr>
        <w:spacing w:before="120" w:after="120"/>
        <w:rPr>
          <w:rFonts w:ascii="Arial Narrow" w:hAnsi="Arial Narrow" w:cs="Arial"/>
          <w:color w:val="000000"/>
        </w:rPr>
      </w:pPr>
      <w:r w:rsidRPr="00202C1F">
        <w:rPr>
          <w:rFonts w:ascii="Arial Narrow" w:hAnsi="Arial Narrow" w:cs="Arial"/>
          <w:color w:val="000000"/>
        </w:rPr>
        <w:t xml:space="preserve">This would appear to be saying to report “1.”  </w:t>
      </w:r>
    </w:p>
    <w:p w14:paraId="492ADEBB" w14:textId="5B14491E" w:rsidR="00A0760F" w:rsidRPr="00202C1F" w:rsidRDefault="00A0760F" w:rsidP="00A0760F">
      <w:pPr>
        <w:spacing w:before="120" w:after="120"/>
        <w:rPr>
          <w:rFonts w:ascii="Arial Narrow" w:eastAsia="Times New Roman" w:hAnsi="Arial Narrow" w:cs="Segoe UI"/>
        </w:rPr>
      </w:pPr>
      <w:r w:rsidRPr="00202C1F">
        <w:rPr>
          <w:rFonts w:ascii="Arial Narrow" w:hAnsi="Arial Narrow" w:cs="Arial"/>
          <w:color w:val="000000"/>
        </w:rPr>
        <w:t xml:space="preserve">However, Interim Final Rule #3 distinguishes between applicants with self-employment income who have “no employees” versus those who “have employees:” </w:t>
      </w:r>
      <w:hyperlink r:id="rId35" w:tgtFrame="_blank" w:tooltip="https://home.treasury.gov/system/files/136/interim-final-rule-additional-eligibility-criteria-and-requirements-for-certain-pledges-of-loans.pdf" w:history="1">
        <w:r w:rsidRPr="00202C1F">
          <w:rPr>
            <w:rStyle w:val="Hyperlink"/>
            <w:rFonts w:ascii="Arial Narrow" w:hAnsi="Arial Narrow" w:cs="Segoe UI"/>
          </w:rPr>
          <w:t>https://home.treasury.gov/system/files/136/Interim-Final-Rule-Additional-Eligibility-Criteria-and-Requirements-for-Certain-Pledges-of-Loans.pdf</w:t>
        </w:r>
      </w:hyperlink>
      <w:r w:rsidRPr="00202C1F">
        <w:rPr>
          <w:rFonts w:ascii="Arial Narrow" w:eastAsia="Times New Roman" w:hAnsi="Arial Narrow" w:cs="Segoe UI"/>
        </w:rPr>
        <w:t xml:space="preserve">, which would also argue perhaps to report “0.”  It is unclear whether this answer would strip a loan of it’s SBA backed forgiveness and remains an open question needing to be addressed. </w:t>
      </w:r>
    </w:p>
    <w:p w14:paraId="7F37F317" w14:textId="77777777" w:rsidR="00816065" w:rsidRPr="00202C1F" w:rsidRDefault="00816065" w:rsidP="00A0760F">
      <w:pPr>
        <w:numPr>
          <w:ilvl w:val="0"/>
          <w:numId w:val="29"/>
        </w:numPr>
        <w:spacing w:before="120" w:after="120"/>
        <w:jc w:val="both"/>
        <w:rPr>
          <w:rFonts w:ascii="Arial Narrow" w:hAnsi="Arial Narrow" w:cs="Arial"/>
          <w:b/>
          <w:bCs/>
          <w:color w:val="000000"/>
        </w:rPr>
      </w:pPr>
      <w:r w:rsidRPr="00202C1F">
        <w:rPr>
          <w:rFonts w:ascii="Arial Narrow" w:hAnsi="Arial Narrow" w:cs="Arial"/>
          <w:b/>
          <w:bCs/>
          <w:color w:val="000000"/>
        </w:rPr>
        <w:t>Are PPP loans eligible for CRA credit and if so, when should banks be reporting: funding or repayment timeframe?</w:t>
      </w:r>
    </w:p>
    <w:p w14:paraId="6016C31B" w14:textId="56545658" w:rsidR="00C25EEF" w:rsidRPr="00202C1F" w:rsidRDefault="00B47167" w:rsidP="00A0760F">
      <w:pPr>
        <w:spacing w:before="120" w:after="120"/>
        <w:jc w:val="both"/>
        <w:rPr>
          <w:rFonts w:ascii="Arial Narrow" w:hAnsi="Arial Narrow" w:cs="Arial"/>
          <w:color w:val="000000"/>
        </w:rPr>
      </w:pPr>
      <w:r w:rsidRPr="00202C1F">
        <w:rPr>
          <w:rFonts w:ascii="Arial Narrow" w:hAnsi="Arial Narrow" w:cs="Arial"/>
          <w:color w:val="000000"/>
        </w:rPr>
        <w:t xml:space="preserve">The FDIC released the following FAQ on CRA applicability for PPP loans: </w:t>
      </w:r>
    </w:p>
    <w:p w14:paraId="3BF05F25" w14:textId="47E99435" w:rsidR="00B47167" w:rsidRPr="00202C1F" w:rsidRDefault="00B47167" w:rsidP="00B47167">
      <w:pPr>
        <w:spacing w:before="120" w:after="120"/>
        <w:ind w:firstLine="720"/>
        <w:jc w:val="both"/>
        <w:rPr>
          <w:rFonts w:ascii="Arial Narrow" w:hAnsi="Arial Narrow"/>
        </w:rPr>
      </w:pPr>
      <w:r w:rsidRPr="00202C1F">
        <w:rPr>
          <w:rFonts w:ascii="Arial Narrow" w:hAnsi="Arial Narrow"/>
        </w:rPr>
        <w:t xml:space="preserve">Q: Will loans originated under the PPP receive CRA Credit? </w:t>
      </w:r>
    </w:p>
    <w:p w14:paraId="7C815DE9" w14:textId="60E433A8" w:rsidR="00B47167" w:rsidRPr="00202C1F" w:rsidRDefault="00B47167" w:rsidP="00B47167">
      <w:pPr>
        <w:spacing w:before="120" w:after="120"/>
        <w:ind w:left="720"/>
        <w:jc w:val="both"/>
        <w:rPr>
          <w:rFonts w:ascii="Arial Narrow" w:hAnsi="Arial Narrow" w:cs="Arial"/>
          <w:color w:val="000000"/>
        </w:rPr>
      </w:pPr>
      <w:r w:rsidRPr="00202C1F">
        <w:rPr>
          <w:rFonts w:ascii="Arial Narrow" w:hAnsi="Arial Narrow"/>
        </w:rPr>
        <w:t>A: In most cases, yes. According to existing examination guidance as well as the March 19, 2020 Joint Statement on CRA Consideration for Activities in Response to the COVID-19, when consistent with safe and sound banking practices and applicable law, loans that benefit small businesses and small farms impacted by COVID-19 serve the long-term interest of those communities and the financial system. Generally, loans to for-profit businesses in amounts of $1 million or less are considered small business loans in CRA evaluations and will be considered as such under the lending test. Additionally, PPP loans to small businesses could receive consideration as innovative or flexible lending practices. Generally, loans to businesses greater than $1 million to small businesses that create or retain jobs would qualify as community development loans under economic development if the loans create or retain jobs or under revitalization/stabilization if they benefit primarily low- and moderate-income areas or distressed middle-income areas.</w:t>
      </w:r>
    </w:p>
    <w:p w14:paraId="3076BD99" w14:textId="05ED1B80" w:rsidR="00B47167" w:rsidRPr="00202C1F" w:rsidRDefault="00B47167" w:rsidP="00B47167">
      <w:pPr>
        <w:spacing w:before="120" w:after="120"/>
        <w:jc w:val="right"/>
        <w:rPr>
          <w:rFonts w:ascii="Arial Narrow" w:hAnsi="Arial Narrow"/>
        </w:rPr>
      </w:pPr>
      <w:r w:rsidRPr="00202C1F">
        <w:rPr>
          <w:rFonts w:ascii="Arial Narrow" w:hAnsi="Arial Narrow" w:cs="Arial"/>
          <w:color w:val="000000"/>
        </w:rPr>
        <w:t xml:space="preserve">Resource: </w:t>
      </w:r>
      <w:hyperlink r:id="rId36" w:history="1">
        <w:r w:rsidRPr="00202C1F">
          <w:rPr>
            <w:rStyle w:val="Hyperlink"/>
            <w:rFonts w:ascii="Arial Narrow" w:hAnsi="Arial Narrow"/>
          </w:rPr>
          <w:t>https://www.fdic.gov/coronavirus/smallbusiness/faq-sb.pdf</w:t>
        </w:r>
      </w:hyperlink>
    </w:p>
    <w:p w14:paraId="7444BB9D" w14:textId="2C62E79D" w:rsidR="00B47167" w:rsidRPr="00202C1F" w:rsidRDefault="00B47167" w:rsidP="00B47167">
      <w:pPr>
        <w:spacing w:before="120" w:after="120"/>
        <w:rPr>
          <w:rFonts w:ascii="Arial Narrow" w:hAnsi="Arial Narrow" w:cs="Arial"/>
          <w:color w:val="000000"/>
        </w:rPr>
      </w:pPr>
      <w:r w:rsidRPr="00202C1F">
        <w:rPr>
          <w:rFonts w:ascii="Arial Narrow" w:hAnsi="Arial Narrow"/>
        </w:rPr>
        <w:t xml:space="preserve">The parameters of the PPP do not change a bank’s normal CRA filing and reporting requirements.  At origination would be date banks would use in reporting eligible PPP loans for CRA purposes.  </w:t>
      </w:r>
    </w:p>
    <w:sectPr w:rsidR="00B47167" w:rsidRPr="00202C1F">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249D" w14:textId="77777777" w:rsidR="005A75CC" w:rsidRDefault="005A75CC" w:rsidP="0029553F">
      <w:pPr>
        <w:spacing w:after="0" w:line="240" w:lineRule="auto"/>
      </w:pPr>
      <w:r>
        <w:separator/>
      </w:r>
    </w:p>
  </w:endnote>
  <w:endnote w:type="continuationSeparator" w:id="0">
    <w:p w14:paraId="72B7F6E5" w14:textId="77777777" w:rsidR="005A75CC" w:rsidRDefault="005A75CC" w:rsidP="0029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F44C" w14:textId="77777777" w:rsidR="0029553F" w:rsidRDefault="0029553F" w:rsidP="0029553F">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782BED2D" wp14:editId="4836BC80">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4114BE">
      <w:rPr>
        <w:rFonts w:ascii="Arial Narrow" w:hAnsi="Arial Narrow" w:cs="Arial"/>
        <w:b/>
        <w:color w:val="242A2E"/>
      </w:rPr>
      <w:t xml:space="preserve">© Compliance Alliance </w:t>
    </w:r>
    <w:r w:rsidR="004542FD">
      <w:rPr>
        <w:rFonts w:ascii="Arial Narrow" w:hAnsi="Arial Narrow" w:cs="Arial"/>
        <w:b/>
        <w:color w:val="242A2E"/>
      </w:rPr>
      <w:t>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8973BE">
          <w:rPr>
            <w:noProof/>
          </w:rPr>
          <w:t>4</w:t>
        </w:r>
        <w:r>
          <w:rPr>
            <w:noProof/>
          </w:rPr>
          <w:fldChar w:fldCharType="end"/>
        </w:r>
        <w:r>
          <w:t xml:space="preserve"> | </w:t>
        </w:r>
        <w:r>
          <w:rPr>
            <w:color w:val="808080" w:themeColor="background1" w:themeShade="80"/>
            <w:spacing w:val="60"/>
          </w:rPr>
          <w:t>Page</w:t>
        </w:r>
      </w:sdtContent>
    </w:sdt>
  </w:p>
  <w:p w14:paraId="4993FBBF" w14:textId="77777777" w:rsidR="0029553F" w:rsidRDefault="0029553F">
    <w:pPr>
      <w:pStyle w:val="Footer"/>
    </w:pPr>
  </w:p>
  <w:p w14:paraId="4D2DBD0E" w14:textId="77777777" w:rsidR="0029553F" w:rsidRDefault="00295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CA8E" w14:textId="77777777" w:rsidR="005A75CC" w:rsidRDefault="005A75CC" w:rsidP="0029553F">
      <w:pPr>
        <w:spacing w:after="0" w:line="240" w:lineRule="auto"/>
      </w:pPr>
      <w:r>
        <w:separator/>
      </w:r>
    </w:p>
  </w:footnote>
  <w:footnote w:type="continuationSeparator" w:id="0">
    <w:p w14:paraId="3D7D2608" w14:textId="77777777" w:rsidR="005A75CC" w:rsidRDefault="005A75CC" w:rsidP="00295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DC2"/>
    <w:multiLevelType w:val="hybridMultilevel"/>
    <w:tmpl w:val="8160BAF0"/>
    <w:lvl w:ilvl="0" w:tplc="12B89618">
      <w:start w:val="1"/>
      <w:numFmt w:val="bullet"/>
      <w:lvlText w:val=""/>
      <w:lvlJc w:val="left"/>
      <w:pPr>
        <w:tabs>
          <w:tab w:val="num" w:pos="720"/>
        </w:tabs>
        <w:ind w:left="720" w:hanging="360"/>
      </w:pPr>
      <w:rPr>
        <w:rFonts w:ascii="Wingdings" w:hAnsi="Wingdings" w:hint="default"/>
      </w:rPr>
    </w:lvl>
    <w:lvl w:ilvl="1" w:tplc="B254F528">
      <w:start w:val="1"/>
      <w:numFmt w:val="bullet"/>
      <w:lvlText w:val=""/>
      <w:lvlJc w:val="left"/>
      <w:pPr>
        <w:tabs>
          <w:tab w:val="num" w:pos="1440"/>
        </w:tabs>
        <w:ind w:left="1440" w:hanging="360"/>
      </w:pPr>
      <w:rPr>
        <w:rFonts w:ascii="Wingdings" w:hAnsi="Wingdings" w:hint="default"/>
      </w:rPr>
    </w:lvl>
    <w:lvl w:ilvl="2" w:tplc="BE7E97B0" w:tentative="1">
      <w:start w:val="1"/>
      <w:numFmt w:val="bullet"/>
      <w:lvlText w:val=""/>
      <w:lvlJc w:val="left"/>
      <w:pPr>
        <w:tabs>
          <w:tab w:val="num" w:pos="2160"/>
        </w:tabs>
        <w:ind w:left="2160" w:hanging="360"/>
      </w:pPr>
      <w:rPr>
        <w:rFonts w:ascii="Wingdings" w:hAnsi="Wingdings" w:hint="default"/>
      </w:rPr>
    </w:lvl>
    <w:lvl w:ilvl="3" w:tplc="E500B684" w:tentative="1">
      <w:start w:val="1"/>
      <w:numFmt w:val="bullet"/>
      <w:lvlText w:val=""/>
      <w:lvlJc w:val="left"/>
      <w:pPr>
        <w:tabs>
          <w:tab w:val="num" w:pos="2880"/>
        </w:tabs>
        <w:ind w:left="2880" w:hanging="360"/>
      </w:pPr>
      <w:rPr>
        <w:rFonts w:ascii="Wingdings" w:hAnsi="Wingdings" w:hint="default"/>
      </w:rPr>
    </w:lvl>
    <w:lvl w:ilvl="4" w:tplc="7C2AEA14" w:tentative="1">
      <w:start w:val="1"/>
      <w:numFmt w:val="bullet"/>
      <w:lvlText w:val=""/>
      <w:lvlJc w:val="left"/>
      <w:pPr>
        <w:tabs>
          <w:tab w:val="num" w:pos="3600"/>
        </w:tabs>
        <w:ind w:left="3600" w:hanging="360"/>
      </w:pPr>
      <w:rPr>
        <w:rFonts w:ascii="Wingdings" w:hAnsi="Wingdings" w:hint="default"/>
      </w:rPr>
    </w:lvl>
    <w:lvl w:ilvl="5" w:tplc="9D9A9260" w:tentative="1">
      <w:start w:val="1"/>
      <w:numFmt w:val="bullet"/>
      <w:lvlText w:val=""/>
      <w:lvlJc w:val="left"/>
      <w:pPr>
        <w:tabs>
          <w:tab w:val="num" w:pos="4320"/>
        </w:tabs>
        <w:ind w:left="4320" w:hanging="360"/>
      </w:pPr>
      <w:rPr>
        <w:rFonts w:ascii="Wingdings" w:hAnsi="Wingdings" w:hint="default"/>
      </w:rPr>
    </w:lvl>
    <w:lvl w:ilvl="6" w:tplc="1AF2FEE2" w:tentative="1">
      <w:start w:val="1"/>
      <w:numFmt w:val="bullet"/>
      <w:lvlText w:val=""/>
      <w:lvlJc w:val="left"/>
      <w:pPr>
        <w:tabs>
          <w:tab w:val="num" w:pos="5040"/>
        </w:tabs>
        <w:ind w:left="5040" w:hanging="360"/>
      </w:pPr>
      <w:rPr>
        <w:rFonts w:ascii="Wingdings" w:hAnsi="Wingdings" w:hint="default"/>
      </w:rPr>
    </w:lvl>
    <w:lvl w:ilvl="7" w:tplc="DB061976" w:tentative="1">
      <w:start w:val="1"/>
      <w:numFmt w:val="bullet"/>
      <w:lvlText w:val=""/>
      <w:lvlJc w:val="left"/>
      <w:pPr>
        <w:tabs>
          <w:tab w:val="num" w:pos="5760"/>
        </w:tabs>
        <w:ind w:left="5760" w:hanging="360"/>
      </w:pPr>
      <w:rPr>
        <w:rFonts w:ascii="Wingdings" w:hAnsi="Wingdings" w:hint="default"/>
      </w:rPr>
    </w:lvl>
    <w:lvl w:ilvl="8" w:tplc="3912AF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86A59"/>
    <w:multiLevelType w:val="hybridMultilevel"/>
    <w:tmpl w:val="43740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B0FE7"/>
    <w:multiLevelType w:val="hybridMultilevel"/>
    <w:tmpl w:val="6A04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05B76"/>
    <w:multiLevelType w:val="hybridMultilevel"/>
    <w:tmpl w:val="F7506412"/>
    <w:lvl w:ilvl="0" w:tplc="A11082FE">
      <w:start w:val="1"/>
      <w:numFmt w:val="decimal"/>
      <w:lvlText w:val="%1."/>
      <w:lvlJc w:val="left"/>
      <w:pPr>
        <w:tabs>
          <w:tab w:val="num" w:pos="720"/>
        </w:tabs>
        <w:ind w:left="720" w:hanging="360"/>
      </w:pPr>
    </w:lvl>
    <w:lvl w:ilvl="1" w:tplc="A93E32A8" w:tentative="1">
      <w:start w:val="1"/>
      <w:numFmt w:val="decimal"/>
      <w:lvlText w:val="%2."/>
      <w:lvlJc w:val="left"/>
      <w:pPr>
        <w:tabs>
          <w:tab w:val="num" w:pos="1440"/>
        </w:tabs>
        <w:ind w:left="1440" w:hanging="360"/>
      </w:pPr>
    </w:lvl>
    <w:lvl w:ilvl="2" w:tplc="9C5AD820" w:tentative="1">
      <w:start w:val="1"/>
      <w:numFmt w:val="decimal"/>
      <w:lvlText w:val="%3."/>
      <w:lvlJc w:val="left"/>
      <w:pPr>
        <w:tabs>
          <w:tab w:val="num" w:pos="2160"/>
        </w:tabs>
        <w:ind w:left="2160" w:hanging="360"/>
      </w:pPr>
    </w:lvl>
    <w:lvl w:ilvl="3" w:tplc="E4B49342" w:tentative="1">
      <w:start w:val="1"/>
      <w:numFmt w:val="decimal"/>
      <w:lvlText w:val="%4."/>
      <w:lvlJc w:val="left"/>
      <w:pPr>
        <w:tabs>
          <w:tab w:val="num" w:pos="2880"/>
        </w:tabs>
        <w:ind w:left="2880" w:hanging="360"/>
      </w:pPr>
    </w:lvl>
    <w:lvl w:ilvl="4" w:tplc="C060C62A" w:tentative="1">
      <w:start w:val="1"/>
      <w:numFmt w:val="decimal"/>
      <w:lvlText w:val="%5."/>
      <w:lvlJc w:val="left"/>
      <w:pPr>
        <w:tabs>
          <w:tab w:val="num" w:pos="3600"/>
        </w:tabs>
        <w:ind w:left="3600" w:hanging="360"/>
      </w:pPr>
    </w:lvl>
    <w:lvl w:ilvl="5" w:tplc="ED5C8360" w:tentative="1">
      <w:start w:val="1"/>
      <w:numFmt w:val="decimal"/>
      <w:lvlText w:val="%6."/>
      <w:lvlJc w:val="left"/>
      <w:pPr>
        <w:tabs>
          <w:tab w:val="num" w:pos="4320"/>
        </w:tabs>
        <w:ind w:left="4320" w:hanging="360"/>
      </w:pPr>
    </w:lvl>
    <w:lvl w:ilvl="6" w:tplc="5E8470FE" w:tentative="1">
      <w:start w:val="1"/>
      <w:numFmt w:val="decimal"/>
      <w:lvlText w:val="%7."/>
      <w:lvlJc w:val="left"/>
      <w:pPr>
        <w:tabs>
          <w:tab w:val="num" w:pos="5040"/>
        </w:tabs>
        <w:ind w:left="5040" w:hanging="360"/>
      </w:pPr>
    </w:lvl>
    <w:lvl w:ilvl="7" w:tplc="4CE8CB44" w:tentative="1">
      <w:start w:val="1"/>
      <w:numFmt w:val="decimal"/>
      <w:lvlText w:val="%8."/>
      <w:lvlJc w:val="left"/>
      <w:pPr>
        <w:tabs>
          <w:tab w:val="num" w:pos="5760"/>
        </w:tabs>
        <w:ind w:left="5760" w:hanging="360"/>
      </w:pPr>
    </w:lvl>
    <w:lvl w:ilvl="8" w:tplc="76482476" w:tentative="1">
      <w:start w:val="1"/>
      <w:numFmt w:val="decimal"/>
      <w:lvlText w:val="%9."/>
      <w:lvlJc w:val="left"/>
      <w:pPr>
        <w:tabs>
          <w:tab w:val="num" w:pos="6480"/>
        </w:tabs>
        <w:ind w:left="6480" w:hanging="360"/>
      </w:pPr>
    </w:lvl>
  </w:abstractNum>
  <w:abstractNum w:abstractNumId="4" w15:restartNumberingAfterBreak="0">
    <w:nsid w:val="09121E76"/>
    <w:multiLevelType w:val="hybridMultilevel"/>
    <w:tmpl w:val="90EC4092"/>
    <w:lvl w:ilvl="0" w:tplc="8E9CA3BA">
      <w:start w:val="1"/>
      <w:numFmt w:val="decimal"/>
      <w:lvlText w:val="%1."/>
      <w:lvlJc w:val="left"/>
      <w:pPr>
        <w:tabs>
          <w:tab w:val="num" w:pos="720"/>
        </w:tabs>
        <w:ind w:left="720" w:hanging="360"/>
      </w:pPr>
    </w:lvl>
    <w:lvl w:ilvl="1" w:tplc="85D6D7EA" w:tentative="1">
      <w:start w:val="1"/>
      <w:numFmt w:val="decimal"/>
      <w:lvlText w:val="%2."/>
      <w:lvlJc w:val="left"/>
      <w:pPr>
        <w:tabs>
          <w:tab w:val="num" w:pos="1440"/>
        </w:tabs>
        <w:ind w:left="1440" w:hanging="360"/>
      </w:pPr>
    </w:lvl>
    <w:lvl w:ilvl="2" w:tplc="BF080A54" w:tentative="1">
      <w:start w:val="1"/>
      <w:numFmt w:val="decimal"/>
      <w:lvlText w:val="%3."/>
      <w:lvlJc w:val="left"/>
      <w:pPr>
        <w:tabs>
          <w:tab w:val="num" w:pos="2160"/>
        </w:tabs>
        <w:ind w:left="2160" w:hanging="360"/>
      </w:pPr>
    </w:lvl>
    <w:lvl w:ilvl="3" w:tplc="761A540E" w:tentative="1">
      <w:start w:val="1"/>
      <w:numFmt w:val="decimal"/>
      <w:lvlText w:val="%4."/>
      <w:lvlJc w:val="left"/>
      <w:pPr>
        <w:tabs>
          <w:tab w:val="num" w:pos="2880"/>
        </w:tabs>
        <w:ind w:left="2880" w:hanging="360"/>
      </w:pPr>
    </w:lvl>
    <w:lvl w:ilvl="4" w:tplc="08C25716" w:tentative="1">
      <w:start w:val="1"/>
      <w:numFmt w:val="decimal"/>
      <w:lvlText w:val="%5."/>
      <w:lvlJc w:val="left"/>
      <w:pPr>
        <w:tabs>
          <w:tab w:val="num" w:pos="3600"/>
        </w:tabs>
        <w:ind w:left="3600" w:hanging="360"/>
      </w:pPr>
    </w:lvl>
    <w:lvl w:ilvl="5" w:tplc="67A23510" w:tentative="1">
      <w:start w:val="1"/>
      <w:numFmt w:val="decimal"/>
      <w:lvlText w:val="%6."/>
      <w:lvlJc w:val="left"/>
      <w:pPr>
        <w:tabs>
          <w:tab w:val="num" w:pos="4320"/>
        </w:tabs>
        <w:ind w:left="4320" w:hanging="360"/>
      </w:pPr>
    </w:lvl>
    <w:lvl w:ilvl="6" w:tplc="F2880BCE" w:tentative="1">
      <w:start w:val="1"/>
      <w:numFmt w:val="decimal"/>
      <w:lvlText w:val="%7."/>
      <w:lvlJc w:val="left"/>
      <w:pPr>
        <w:tabs>
          <w:tab w:val="num" w:pos="5040"/>
        </w:tabs>
        <w:ind w:left="5040" w:hanging="360"/>
      </w:pPr>
    </w:lvl>
    <w:lvl w:ilvl="7" w:tplc="3DF4440A" w:tentative="1">
      <w:start w:val="1"/>
      <w:numFmt w:val="decimal"/>
      <w:lvlText w:val="%8."/>
      <w:lvlJc w:val="left"/>
      <w:pPr>
        <w:tabs>
          <w:tab w:val="num" w:pos="5760"/>
        </w:tabs>
        <w:ind w:left="5760" w:hanging="360"/>
      </w:pPr>
    </w:lvl>
    <w:lvl w:ilvl="8" w:tplc="A8287D64" w:tentative="1">
      <w:start w:val="1"/>
      <w:numFmt w:val="decimal"/>
      <w:lvlText w:val="%9."/>
      <w:lvlJc w:val="left"/>
      <w:pPr>
        <w:tabs>
          <w:tab w:val="num" w:pos="6480"/>
        </w:tabs>
        <w:ind w:left="6480" w:hanging="360"/>
      </w:pPr>
    </w:lvl>
  </w:abstractNum>
  <w:abstractNum w:abstractNumId="5" w15:restartNumberingAfterBreak="0">
    <w:nsid w:val="0C083579"/>
    <w:multiLevelType w:val="hybridMultilevel"/>
    <w:tmpl w:val="2D7A255C"/>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F1E04"/>
    <w:multiLevelType w:val="multilevel"/>
    <w:tmpl w:val="60065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862BE2"/>
    <w:multiLevelType w:val="hybridMultilevel"/>
    <w:tmpl w:val="7466EAC8"/>
    <w:lvl w:ilvl="0" w:tplc="B532B534">
      <w:start w:val="1"/>
      <w:numFmt w:val="bullet"/>
      <w:lvlText w:val=""/>
      <w:lvlJc w:val="left"/>
      <w:pPr>
        <w:tabs>
          <w:tab w:val="num" w:pos="720"/>
        </w:tabs>
        <w:ind w:left="720" w:hanging="360"/>
      </w:pPr>
      <w:rPr>
        <w:rFonts w:ascii="Wingdings" w:hAnsi="Wingdings" w:hint="default"/>
      </w:rPr>
    </w:lvl>
    <w:lvl w:ilvl="1" w:tplc="29BA1FC6" w:tentative="1">
      <w:start w:val="1"/>
      <w:numFmt w:val="bullet"/>
      <w:lvlText w:val=""/>
      <w:lvlJc w:val="left"/>
      <w:pPr>
        <w:tabs>
          <w:tab w:val="num" w:pos="1440"/>
        </w:tabs>
        <w:ind w:left="1440" w:hanging="360"/>
      </w:pPr>
      <w:rPr>
        <w:rFonts w:ascii="Wingdings" w:hAnsi="Wingdings" w:hint="default"/>
      </w:rPr>
    </w:lvl>
    <w:lvl w:ilvl="2" w:tplc="42C02AFA" w:tentative="1">
      <w:start w:val="1"/>
      <w:numFmt w:val="bullet"/>
      <w:lvlText w:val=""/>
      <w:lvlJc w:val="left"/>
      <w:pPr>
        <w:tabs>
          <w:tab w:val="num" w:pos="2160"/>
        </w:tabs>
        <w:ind w:left="2160" w:hanging="360"/>
      </w:pPr>
      <w:rPr>
        <w:rFonts w:ascii="Wingdings" w:hAnsi="Wingdings" w:hint="default"/>
      </w:rPr>
    </w:lvl>
    <w:lvl w:ilvl="3" w:tplc="30A21C3E" w:tentative="1">
      <w:start w:val="1"/>
      <w:numFmt w:val="bullet"/>
      <w:lvlText w:val=""/>
      <w:lvlJc w:val="left"/>
      <w:pPr>
        <w:tabs>
          <w:tab w:val="num" w:pos="2880"/>
        </w:tabs>
        <w:ind w:left="2880" w:hanging="360"/>
      </w:pPr>
      <w:rPr>
        <w:rFonts w:ascii="Wingdings" w:hAnsi="Wingdings" w:hint="default"/>
      </w:rPr>
    </w:lvl>
    <w:lvl w:ilvl="4" w:tplc="FF46BA8E" w:tentative="1">
      <w:start w:val="1"/>
      <w:numFmt w:val="bullet"/>
      <w:lvlText w:val=""/>
      <w:lvlJc w:val="left"/>
      <w:pPr>
        <w:tabs>
          <w:tab w:val="num" w:pos="3600"/>
        </w:tabs>
        <w:ind w:left="3600" w:hanging="360"/>
      </w:pPr>
      <w:rPr>
        <w:rFonts w:ascii="Wingdings" w:hAnsi="Wingdings" w:hint="default"/>
      </w:rPr>
    </w:lvl>
    <w:lvl w:ilvl="5" w:tplc="90D027D4" w:tentative="1">
      <w:start w:val="1"/>
      <w:numFmt w:val="bullet"/>
      <w:lvlText w:val=""/>
      <w:lvlJc w:val="left"/>
      <w:pPr>
        <w:tabs>
          <w:tab w:val="num" w:pos="4320"/>
        </w:tabs>
        <w:ind w:left="4320" w:hanging="360"/>
      </w:pPr>
      <w:rPr>
        <w:rFonts w:ascii="Wingdings" w:hAnsi="Wingdings" w:hint="default"/>
      </w:rPr>
    </w:lvl>
    <w:lvl w:ilvl="6" w:tplc="6F4E9298" w:tentative="1">
      <w:start w:val="1"/>
      <w:numFmt w:val="bullet"/>
      <w:lvlText w:val=""/>
      <w:lvlJc w:val="left"/>
      <w:pPr>
        <w:tabs>
          <w:tab w:val="num" w:pos="5040"/>
        </w:tabs>
        <w:ind w:left="5040" w:hanging="360"/>
      </w:pPr>
      <w:rPr>
        <w:rFonts w:ascii="Wingdings" w:hAnsi="Wingdings" w:hint="default"/>
      </w:rPr>
    </w:lvl>
    <w:lvl w:ilvl="7" w:tplc="7918F35E" w:tentative="1">
      <w:start w:val="1"/>
      <w:numFmt w:val="bullet"/>
      <w:lvlText w:val=""/>
      <w:lvlJc w:val="left"/>
      <w:pPr>
        <w:tabs>
          <w:tab w:val="num" w:pos="5760"/>
        </w:tabs>
        <w:ind w:left="5760" w:hanging="360"/>
      </w:pPr>
      <w:rPr>
        <w:rFonts w:ascii="Wingdings" w:hAnsi="Wingdings" w:hint="default"/>
      </w:rPr>
    </w:lvl>
    <w:lvl w:ilvl="8" w:tplc="0FCA2A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60A31"/>
    <w:multiLevelType w:val="hybridMultilevel"/>
    <w:tmpl w:val="370AC492"/>
    <w:lvl w:ilvl="0" w:tplc="C9262E32">
      <w:start w:val="1"/>
      <w:numFmt w:val="bullet"/>
      <w:lvlText w:val=""/>
      <w:lvlJc w:val="left"/>
      <w:pPr>
        <w:tabs>
          <w:tab w:val="num" w:pos="720"/>
        </w:tabs>
        <w:ind w:left="720" w:hanging="360"/>
      </w:pPr>
      <w:rPr>
        <w:rFonts w:ascii="Wingdings" w:hAnsi="Wingdings" w:hint="default"/>
      </w:rPr>
    </w:lvl>
    <w:lvl w:ilvl="1" w:tplc="BC04558C" w:tentative="1">
      <w:start w:val="1"/>
      <w:numFmt w:val="bullet"/>
      <w:lvlText w:val=""/>
      <w:lvlJc w:val="left"/>
      <w:pPr>
        <w:tabs>
          <w:tab w:val="num" w:pos="1440"/>
        </w:tabs>
        <w:ind w:left="1440" w:hanging="360"/>
      </w:pPr>
      <w:rPr>
        <w:rFonts w:ascii="Wingdings" w:hAnsi="Wingdings" w:hint="default"/>
      </w:rPr>
    </w:lvl>
    <w:lvl w:ilvl="2" w:tplc="4AFAE686" w:tentative="1">
      <w:start w:val="1"/>
      <w:numFmt w:val="bullet"/>
      <w:lvlText w:val=""/>
      <w:lvlJc w:val="left"/>
      <w:pPr>
        <w:tabs>
          <w:tab w:val="num" w:pos="2160"/>
        </w:tabs>
        <w:ind w:left="2160" w:hanging="360"/>
      </w:pPr>
      <w:rPr>
        <w:rFonts w:ascii="Wingdings" w:hAnsi="Wingdings" w:hint="default"/>
      </w:rPr>
    </w:lvl>
    <w:lvl w:ilvl="3" w:tplc="3EB037A6" w:tentative="1">
      <w:start w:val="1"/>
      <w:numFmt w:val="bullet"/>
      <w:lvlText w:val=""/>
      <w:lvlJc w:val="left"/>
      <w:pPr>
        <w:tabs>
          <w:tab w:val="num" w:pos="2880"/>
        </w:tabs>
        <w:ind w:left="2880" w:hanging="360"/>
      </w:pPr>
      <w:rPr>
        <w:rFonts w:ascii="Wingdings" w:hAnsi="Wingdings" w:hint="default"/>
      </w:rPr>
    </w:lvl>
    <w:lvl w:ilvl="4" w:tplc="535090D8" w:tentative="1">
      <w:start w:val="1"/>
      <w:numFmt w:val="bullet"/>
      <w:lvlText w:val=""/>
      <w:lvlJc w:val="left"/>
      <w:pPr>
        <w:tabs>
          <w:tab w:val="num" w:pos="3600"/>
        </w:tabs>
        <w:ind w:left="3600" w:hanging="360"/>
      </w:pPr>
      <w:rPr>
        <w:rFonts w:ascii="Wingdings" w:hAnsi="Wingdings" w:hint="default"/>
      </w:rPr>
    </w:lvl>
    <w:lvl w:ilvl="5" w:tplc="1EF8975A" w:tentative="1">
      <w:start w:val="1"/>
      <w:numFmt w:val="bullet"/>
      <w:lvlText w:val=""/>
      <w:lvlJc w:val="left"/>
      <w:pPr>
        <w:tabs>
          <w:tab w:val="num" w:pos="4320"/>
        </w:tabs>
        <w:ind w:left="4320" w:hanging="360"/>
      </w:pPr>
      <w:rPr>
        <w:rFonts w:ascii="Wingdings" w:hAnsi="Wingdings" w:hint="default"/>
      </w:rPr>
    </w:lvl>
    <w:lvl w:ilvl="6" w:tplc="BB9ABAEC" w:tentative="1">
      <w:start w:val="1"/>
      <w:numFmt w:val="bullet"/>
      <w:lvlText w:val=""/>
      <w:lvlJc w:val="left"/>
      <w:pPr>
        <w:tabs>
          <w:tab w:val="num" w:pos="5040"/>
        </w:tabs>
        <w:ind w:left="5040" w:hanging="360"/>
      </w:pPr>
      <w:rPr>
        <w:rFonts w:ascii="Wingdings" w:hAnsi="Wingdings" w:hint="default"/>
      </w:rPr>
    </w:lvl>
    <w:lvl w:ilvl="7" w:tplc="9D2C48CA" w:tentative="1">
      <w:start w:val="1"/>
      <w:numFmt w:val="bullet"/>
      <w:lvlText w:val=""/>
      <w:lvlJc w:val="left"/>
      <w:pPr>
        <w:tabs>
          <w:tab w:val="num" w:pos="5760"/>
        </w:tabs>
        <w:ind w:left="5760" w:hanging="360"/>
      </w:pPr>
      <w:rPr>
        <w:rFonts w:ascii="Wingdings" w:hAnsi="Wingdings" w:hint="default"/>
      </w:rPr>
    </w:lvl>
    <w:lvl w:ilvl="8" w:tplc="D1A09E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7671B"/>
    <w:multiLevelType w:val="hybridMultilevel"/>
    <w:tmpl w:val="09A201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9E12DC"/>
    <w:multiLevelType w:val="hybridMultilevel"/>
    <w:tmpl w:val="6F42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F3E72"/>
    <w:multiLevelType w:val="multilevel"/>
    <w:tmpl w:val="C6F64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C7928"/>
    <w:multiLevelType w:val="hybridMultilevel"/>
    <w:tmpl w:val="AEA6A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A125F"/>
    <w:multiLevelType w:val="hybridMultilevel"/>
    <w:tmpl w:val="D8688E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8CB0A7E"/>
    <w:multiLevelType w:val="hybridMultilevel"/>
    <w:tmpl w:val="632C0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B6189"/>
    <w:multiLevelType w:val="hybridMultilevel"/>
    <w:tmpl w:val="124A27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DC0384B"/>
    <w:multiLevelType w:val="hybridMultilevel"/>
    <w:tmpl w:val="7848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4D2377"/>
    <w:multiLevelType w:val="hybridMultilevel"/>
    <w:tmpl w:val="70F62A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0BC39B0"/>
    <w:multiLevelType w:val="hybridMultilevel"/>
    <w:tmpl w:val="F058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A6899"/>
    <w:multiLevelType w:val="hybridMultilevel"/>
    <w:tmpl w:val="10144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946D4"/>
    <w:multiLevelType w:val="hybridMultilevel"/>
    <w:tmpl w:val="D12E6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C2FD2"/>
    <w:multiLevelType w:val="hybridMultilevel"/>
    <w:tmpl w:val="1564E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FE4B5F"/>
    <w:multiLevelType w:val="hybridMultilevel"/>
    <w:tmpl w:val="9D9003DC"/>
    <w:lvl w:ilvl="0" w:tplc="74D82336">
      <w:start w:val="6"/>
      <w:numFmt w:val="decimal"/>
      <w:lvlText w:val="%1."/>
      <w:lvlJc w:val="left"/>
      <w:pPr>
        <w:tabs>
          <w:tab w:val="num" w:pos="720"/>
        </w:tabs>
        <w:ind w:left="720" w:hanging="360"/>
      </w:pPr>
    </w:lvl>
    <w:lvl w:ilvl="1" w:tplc="3FE82CCC" w:tentative="1">
      <w:start w:val="1"/>
      <w:numFmt w:val="decimal"/>
      <w:lvlText w:val="%2."/>
      <w:lvlJc w:val="left"/>
      <w:pPr>
        <w:tabs>
          <w:tab w:val="num" w:pos="1440"/>
        </w:tabs>
        <w:ind w:left="1440" w:hanging="360"/>
      </w:pPr>
    </w:lvl>
    <w:lvl w:ilvl="2" w:tplc="E5A46D3E" w:tentative="1">
      <w:start w:val="1"/>
      <w:numFmt w:val="decimal"/>
      <w:lvlText w:val="%3."/>
      <w:lvlJc w:val="left"/>
      <w:pPr>
        <w:tabs>
          <w:tab w:val="num" w:pos="2160"/>
        </w:tabs>
        <w:ind w:left="2160" w:hanging="360"/>
      </w:pPr>
    </w:lvl>
    <w:lvl w:ilvl="3" w:tplc="66788D84" w:tentative="1">
      <w:start w:val="1"/>
      <w:numFmt w:val="decimal"/>
      <w:lvlText w:val="%4."/>
      <w:lvlJc w:val="left"/>
      <w:pPr>
        <w:tabs>
          <w:tab w:val="num" w:pos="2880"/>
        </w:tabs>
        <w:ind w:left="2880" w:hanging="360"/>
      </w:pPr>
    </w:lvl>
    <w:lvl w:ilvl="4" w:tplc="81A4ED4C" w:tentative="1">
      <w:start w:val="1"/>
      <w:numFmt w:val="decimal"/>
      <w:lvlText w:val="%5."/>
      <w:lvlJc w:val="left"/>
      <w:pPr>
        <w:tabs>
          <w:tab w:val="num" w:pos="3600"/>
        </w:tabs>
        <w:ind w:left="3600" w:hanging="360"/>
      </w:pPr>
    </w:lvl>
    <w:lvl w:ilvl="5" w:tplc="34E4815A" w:tentative="1">
      <w:start w:val="1"/>
      <w:numFmt w:val="decimal"/>
      <w:lvlText w:val="%6."/>
      <w:lvlJc w:val="left"/>
      <w:pPr>
        <w:tabs>
          <w:tab w:val="num" w:pos="4320"/>
        </w:tabs>
        <w:ind w:left="4320" w:hanging="360"/>
      </w:pPr>
    </w:lvl>
    <w:lvl w:ilvl="6" w:tplc="02689436" w:tentative="1">
      <w:start w:val="1"/>
      <w:numFmt w:val="decimal"/>
      <w:lvlText w:val="%7."/>
      <w:lvlJc w:val="left"/>
      <w:pPr>
        <w:tabs>
          <w:tab w:val="num" w:pos="5040"/>
        </w:tabs>
        <w:ind w:left="5040" w:hanging="360"/>
      </w:pPr>
    </w:lvl>
    <w:lvl w:ilvl="7" w:tplc="89B69C5C" w:tentative="1">
      <w:start w:val="1"/>
      <w:numFmt w:val="decimal"/>
      <w:lvlText w:val="%8."/>
      <w:lvlJc w:val="left"/>
      <w:pPr>
        <w:tabs>
          <w:tab w:val="num" w:pos="5760"/>
        </w:tabs>
        <w:ind w:left="5760" w:hanging="360"/>
      </w:pPr>
    </w:lvl>
    <w:lvl w:ilvl="8" w:tplc="187A88EC" w:tentative="1">
      <w:start w:val="1"/>
      <w:numFmt w:val="decimal"/>
      <w:lvlText w:val="%9."/>
      <w:lvlJc w:val="left"/>
      <w:pPr>
        <w:tabs>
          <w:tab w:val="num" w:pos="6480"/>
        </w:tabs>
        <w:ind w:left="6480" w:hanging="360"/>
      </w:pPr>
    </w:lvl>
  </w:abstractNum>
  <w:abstractNum w:abstractNumId="23" w15:restartNumberingAfterBreak="0">
    <w:nsid w:val="49CC4EB3"/>
    <w:multiLevelType w:val="hybridMultilevel"/>
    <w:tmpl w:val="CC28C0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B0E14FA"/>
    <w:multiLevelType w:val="hybridMultilevel"/>
    <w:tmpl w:val="E1283D7E"/>
    <w:lvl w:ilvl="0" w:tplc="56148DEE">
      <w:start w:val="1"/>
      <w:numFmt w:val="bullet"/>
      <w:lvlText w:val=""/>
      <w:lvlJc w:val="left"/>
      <w:pPr>
        <w:tabs>
          <w:tab w:val="num" w:pos="720"/>
        </w:tabs>
        <w:ind w:left="720" w:hanging="360"/>
      </w:pPr>
      <w:rPr>
        <w:rFonts w:ascii="Wingdings" w:hAnsi="Wingdings" w:hint="default"/>
      </w:rPr>
    </w:lvl>
    <w:lvl w:ilvl="1" w:tplc="86087046">
      <w:start w:val="1"/>
      <w:numFmt w:val="bullet"/>
      <w:lvlText w:val=""/>
      <w:lvlJc w:val="left"/>
      <w:pPr>
        <w:tabs>
          <w:tab w:val="num" w:pos="1440"/>
        </w:tabs>
        <w:ind w:left="1440" w:hanging="360"/>
      </w:pPr>
      <w:rPr>
        <w:rFonts w:ascii="Wingdings" w:hAnsi="Wingdings" w:hint="default"/>
      </w:rPr>
    </w:lvl>
    <w:lvl w:ilvl="2" w:tplc="CDD61712" w:tentative="1">
      <w:start w:val="1"/>
      <w:numFmt w:val="bullet"/>
      <w:lvlText w:val=""/>
      <w:lvlJc w:val="left"/>
      <w:pPr>
        <w:tabs>
          <w:tab w:val="num" w:pos="2160"/>
        </w:tabs>
        <w:ind w:left="2160" w:hanging="360"/>
      </w:pPr>
      <w:rPr>
        <w:rFonts w:ascii="Wingdings" w:hAnsi="Wingdings" w:hint="default"/>
      </w:rPr>
    </w:lvl>
    <w:lvl w:ilvl="3" w:tplc="5B06839E" w:tentative="1">
      <w:start w:val="1"/>
      <w:numFmt w:val="bullet"/>
      <w:lvlText w:val=""/>
      <w:lvlJc w:val="left"/>
      <w:pPr>
        <w:tabs>
          <w:tab w:val="num" w:pos="2880"/>
        </w:tabs>
        <w:ind w:left="2880" w:hanging="360"/>
      </w:pPr>
      <w:rPr>
        <w:rFonts w:ascii="Wingdings" w:hAnsi="Wingdings" w:hint="default"/>
      </w:rPr>
    </w:lvl>
    <w:lvl w:ilvl="4" w:tplc="B1DCD446" w:tentative="1">
      <w:start w:val="1"/>
      <w:numFmt w:val="bullet"/>
      <w:lvlText w:val=""/>
      <w:lvlJc w:val="left"/>
      <w:pPr>
        <w:tabs>
          <w:tab w:val="num" w:pos="3600"/>
        </w:tabs>
        <w:ind w:left="3600" w:hanging="360"/>
      </w:pPr>
      <w:rPr>
        <w:rFonts w:ascii="Wingdings" w:hAnsi="Wingdings" w:hint="default"/>
      </w:rPr>
    </w:lvl>
    <w:lvl w:ilvl="5" w:tplc="0096DC9E" w:tentative="1">
      <w:start w:val="1"/>
      <w:numFmt w:val="bullet"/>
      <w:lvlText w:val=""/>
      <w:lvlJc w:val="left"/>
      <w:pPr>
        <w:tabs>
          <w:tab w:val="num" w:pos="4320"/>
        </w:tabs>
        <w:ind w:left="4320" w:hanging="360"/>
      </w:pPr>
      <w:rPr>
        <w:rFonts w:ascii="Wingdings" w:hAnsi="Wingdings" w:hint="default"/>
      </w:rPr>
    </w:lvl>
    <w:lvl w:ilvl="6" w:tplc="36523FBE" w:tentative="1">
      <w:start w:val="1"/>
      <w:numFmt w:val="bullet"/>
      <w:lvlText w:val=""/>
      <w:lvlJc w:val="left"/>
      <w:pPr>
        <w:tabs>
          <w:tab w:val="num" w:pos="5040"/>
        </w:tabs>
        <w:ind w:left="5040" w:hanging="360"/>
      </w:pPr>
      <w:rPr>
        <w:rFonts w:ascii="Wingdings" w:hAnsi="Wingdings" w:hint="default"/>
      </w:rPr>
    </w:lvl>
    <w:lvl w:ilvl="7" w:tplc="ABA8E5EA" w:tentative="1">
      <w:start w:val="1"/>
      <w:numFmt w:val="bullet"/>
      <w:lvlText w:val=""/>
      <w:lvlJc w:val="left"/>
      <w:pPr>
        <w:tabs>
          <w:tab w:val="num" w:pos="5760"/>
        </w:tabs>
        <w:ind w:left="5760" w:hanging="360"/>
      </w:pPr>
      <w:rPr>
        <w:rFonts w:ascii="Wingdings" w:hAnsi="Wingdings" w:hint="default"/>
      </w:rPr>
    </w:lvl>
    <w:lvl w:ilvl="8" w:tplc="E69C95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93236"/>
    <w:multiLevelType w:val="hybridMultilevel"/>
    <w:tmpl w:val="FE2430A2"/>
    <w:lvl w:ilvl="0" w:tplc="4216A840">
      <w:start w:val="1"/>
      <w:numFmt w:val="decimal"/>
      <w:lvlText w:val="%1."/>
      <w:lvlJc w:val="left"/>
      <w:pPr>
        <w:tabs>
          <w:tab w:val="num" w:pos="720"/>
        </w:tabs>
        <w:ind w:left="720" w:hanging="360"/>
      </w:pPr>
    </w:lvl>
    <w:lvl w:ilvl="1" w:tplc="314C9446" w:tentative="1">
      <w:start w:val="1"/>
      <w:numFmt w:val="decimal"/>
      <w:lvlText w:val="%2."/>
      <w:lvlJc w:val="left"/>
      <w:pPr>
        <w:tabs>
          <w:tab w:val="num" w:pos="1440"/>
        </w:tabs>
        <w:ind w:left="1440" w:hanging="360"/>
      </w:pPr>
    </w:lvl>
    <w:lvl w:ilvl="2" w:tplc="B8A89C6A" w:tentative="1">
      <w:start w:val="1"/>
      <w:numFmt w:val="decimal"/>
      <w:lvlText w:val="%3."/>
      <w:lvlJc w:val="left"/>
      <w:pPr>
        <w:tabs>
          <w:tab w:val="num" w:pos="2160"/>
        </w:tabs>
        <w:ind w:left="2160" w:hanging="360"/>
      </w:pPr>
    </w:lvl>
    <w:lvl w:ilvl="3" w:tplc="00421E18" w:tentative="1">
      <w:start w:val="1"/>
      <w:numFmt w:val="decimal"/>
      <w:lvlText w:val="%4."/>
      <w:lvlJc w:val="left"/>
      <w:pPr>
        <w:tabs>
          <w:tab w:val="num" w:pos="2880"/>
        </w:tabs>
        <w:ind w:left="2880" w:hanging="360"/>
      </w:pPr>
    </w:lvl>
    <w:lvl w:ilvl="4" w:tplc="DEE0C42C" w:tentative="1">
      <w:start w:val="1"/>
      <w:numFmt w:val="decimal"/>
      <w:lvlText w:val="%5."/>
      <w:lvlJc w:val="left"/>
      <w:pPr>
        <w:tabs>
          <w:tab w:val="num" w:pos="3600"/>
        </w:tabs>
        <w:ind w:left="3600" w:hanging="360"/>
      </w:pPr>
    </w:lvl>
    <w:lvl w:ilvl="5" w:tplc="703C50F4" w:tentative="1">
      <w:start w:val="1"/>
      <w:numFmt w:val="decimal"/>
      <w:lvlText w:val="%6."/>
      <w:lvlJc w:val="left"/>
      <w:pPr>
        <w:tabs>
          <w:tab w:val="num" w:pos="4320"/>
        </w:tabs>
        <w:ind w:left="4320" w:hanging="360"/>
      </w:pPr>
    </w:lvl>
    <w:lvl w:ilvl="6" w:tplc="04E63734" w:tentative="1">
      <w:start w:val="1"/>
      <w:numFmt w:val="decimal"/>
      <w:lvlText w:val="%7."/>
      <w:lvlJc w:val="left"/>
      <w:pPr>
        <w:tabs>
          <w:tab w:val="num" w:pos="5040"/>
        </w:tabs>
        <w:ind w:left="5040" w:hanging="360"/>
      </w:pPr>
    </w:lvl>
    <w:lvl w:ilvl="7" w:tplc="44B4FB0C" w:tentative="1">
      <w:start w:val="1"/>
      <w:numFmt w:val="decimal"/>
      <w:lvlText w:val="%8."/>
      <w:lvlJc w:val="left"/>
      <w:pPr>
        <w:tabs>
          <w:tab w:val="num" w:pos="5760"/>
        </w:tabs>
        <w:ind w:left="5760" w:hanging="360"/>
      </w:pPr>
    </w:lvl>
    <w:lvl w:ilvl="8" w:tplc="84A64CD0" w:tentative="1">
      <w:start w:val="1"/>
      <w:numFmt w:val="decimal"/>
      <w:lvlText w:val="%9."/>
      <w:lvlJc w:val="left"/>
      <w:pPr>
        <w:tabs>
          <w:tab w:val="num" w:pos="6480"/>
        </w:tabs>
        <w:ind w:left="6480" w:hanging="360"/>
      </w:pPr>
    </w:lvl>
  </w:abstractNum>
  <w:abstractNum w:abstractNumId="26" w15:restartNumberingAfterBreak="0">
    <w:nsid w:val="4FBE64F5"/>
    <w:multiLevelType w:val="hybridMultilevel"/>
    <w:tmpl w:val="C4663318"/>
    <w:lvl w:ilvl="0" w:tplc="6F847836">
      <w:start w:val="1"/>
      <w:numFmt w:val="decimal"/>
      <w:lvlText w:val="%1."/>
      <w:lvlJc w:val="left"/>
      <w:pPr>
        <w:tabs>
          <w:tab w:val="num" w:pos="720"/>
        </w:tabs>
        <w:ind w:left="720" w:hanging="360"/>
      </w:pPr>
    </w:lvl>
    <w:lvl w:ilvl="1" w:tplc="53AE9C78" w:tentative="1">
      <w:start w:val="1"/>
      <w:numFmt w:val="decimal"/>
      <w:lvlText w:val="%2."/>
      <w:lvlJc w:val="left"/>
      <w:pPr>
        <w:tabs>
          <w:tab w:val="num" w:pos="1440"/>
        </w:tabs>
        <w:ind w:left="1440" w:hanging="360"/>
      </w:pPr>
    </w:lvl>
    <w:lvl w:ilvl="2" w:tplc="4FA6F758" w:tentative="1">
      <w:start w:val="1"/>
      <w:numFmt w:val="decimal"/>
      <w:lvlText w:val="%3."/>
      <w:lvlJc w:val="left"/>
      <w:pPr>
        <w:tabs>
          <w:tab w:val="num" w:pos="2160"/>
        </w:tabs>
        <w:ind w:left="2160" w:hanging="360"/>
      </w:pPr>
    </w:lvl>
    <w:lvl w:ilvl="3" w:tplc="7E064592" w:tentative="1">
      <w:start w:val="1"/>
      <w:numFmt w:val="decimal"/>
      <w:lvlText w:val="%4."/>
      <w:lvlJc w:val="left"/>
      <w:pPr>
        <w:tabs>
          <w:tab w:val="num" w:pos="2880"/>
        </w:tabs>
        <w:ind w:left="2880" w:hanging="360"/>
      </w:pPr>
    </w:lvl>
    <w:lvl w:ilvl="4" w:tplc="870EAAFA" w:tentative="1">
      <w:start w:val="1"/>
      <w:numFmt w:val="decimal"/>
      <w:lvlText w:val="%5."/>
      <w:lvlJc w:val="left"/>
      <w:pPr>
        <w:tabs>
          <w:tab w:val="num" w:pos="3600"/>
        </w:tabs>
        <w:ind w:left="3600" w:hanging="360"/>
      </w:pPr>
    </w:lvl>
    <w:lvl w:ilvl="5" w:tplc="E6142FE6" w:tentative="1">
      <w:start w:val="1"/>
      <w:numFmt w:val="decimal"/>
      <w:lvlText w:val="%6."/>
      <w:lvlJc w:val="left"/>
      <w:pPr>
        <w:tabs>
          <w:tab w:val="num" w:pos="4320"/>
        </w:tabs>
        <w:ind w:left="4320" w:hanging="360"/>
      </w:pPr>
    </w:lvl>
    <w:lvl w:ilvl="6" w:tplc="06EA88BA" w:tentative="1">
      <w:start w:val="1"/>
      <w:numFmt w:val="decimal"/>
      <w:lvlText w:val="%7."/>
      <w:lvlJc w:val="left"/>
      <w:pPr>
        <w:tabs>
          <w:tab w:val="num" w:pos="5040"/>
        </w:tabs>
        <w:ind w:left="5040" w:hanging="360"/>
      </w:pPr>
    </w:lvl>
    <w:lvl w:ilvl="7" w:tplc="A7866E62" w:tentative="1">
      <w:start w:val="1"/>
      <w:numFmt w:val="decimal"/>
      <w:lvlText w:val="%8."/>
      <w:lvlJc w:val="left"/>
      <w:pPr>
        <w:tabs>
          <w:tab w:val="num" w:pos="5760"/>
        </w:tabs>
        <w:ind w:left="5760" w:hanging="360"/>
      </w:pPr>
    </w:lvl>
    <w:lvl w:ilvl="8" w:tplc="14B26188" w:tentative="1">
      <w:start w:val="1"/>
      <w:numFmt w:val="decimal"/>
      <w:lvlText w:val="%9."/>
      <w:lvlJc w:val="left"/>
      <w:pPr>
        <w:tabs>
          <w:tab w:val="num" w:pos="6480"/>
        </w:tabs>
        <w:ind w:left="6480" w:hanging="360"/>
      </w:pPr>
    </w:lvl>
  </w:abstractNum>
  <w:abstractNum w:abstractNumId="27" w15:restartNumberingAfterBreak="0">
    <w:nsid w:val="53FA70CA"/>
    <w:multiLevelType w:val="hybridMultilevel"/>
    <w:tmpl w:val="89E2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50A8B"/>
    <w:multiLevelType w:val="hybridMultilevel"/>
    <w:tmpl w:val="471C8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17826"/>
    <w:multiLevelType w:val="hybridMultilevel"/>
    <w:tmpl w:val="95569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32F3F75"/>
    <w:multiLevelType w:val="hybridMultilevel"/>
    <w:tmpl w:val="E57A18E0"/>
    <w:lvl w:ilvl="0" w:tplc="2D64BE8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77806"/>
    <w:multiLevelType w:val="hybridMultilevel"/>
    <w:tmpl w:val="0160F6DC"/>
    <w:lvl w:ilvl="0" w:tplc="D73CA388">
      <w:start w:val="1"/>
      <w:numFmt w:val="bullet"/>
      <w:lvlText w:val="•"/>
      <w:lvlJc w:val="left"/>
      <w:pPr>
        <w:ind w:left="720" w:hanging="360"/>
      </w:pPr>
      <w:rPr>
        <w:rFonts w:ascii="Arial Narrow" w:eastAsia="Calibri" w:hAnsi="Arial Narrow"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87995"/>
    <w:multiLevelType w:val="hybridMultilevel"/>
    <w:tmpl w:val="1D440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595FFC"/>
    <w:multiLevelType w:val="multilevel"/>
    <w:tmpl w:val="28B2A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3F5E77"/>
    <w:multiLevelType w:val="hybridMultilevel"/>
    <w:tmpl w:val="8132E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921ED"/>
    <w:multiLevelType w:val="hybridMultilevel"/>
    <w:tmpl w:val="BEE28F24"/>
    <w:lvl w:ilvl="0" w:tplc="2A7AF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8871E8"/>
    <w:multiLevelType w:val="hybridMultilevel"/>
    <w:tmpl w:val="627A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20"/>
  </w:num>
  <w:num w:numId="4">
    <w:abstractNumId w:val="6"/>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34"/>
  </w:num>
  <w:num w:numId="6">
    <w:abstractNumId w:val="28"/>
  </w:num>
  <w:num w:numId="7">
    <w:abstractNumId w:val="1"/>
  </w:num>
  <w:num w:numId="8">
    <w:abstractNumId w:val="11"/>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33"/>
    <w:lvlOverride w:ilvl="1">
      <w:lvl w:ilvl="1">
        <w:numFmt w:val="lowerLetter"/>
        <w:lvlText w:val="%2."/>
        <w:lvlJc w:val="left"/>
      </w:lvl>
    </w:lvlOverride>
    <w:lvlOverride w:ilvl="2">
      <w:lvl w:ilvl="2">
        <w:numFmt w:val="lowerRoman"/>
        <w:lvlText w:val="%3."/>
        <w:lvlJc w:val="right"/>
      </w:lvl>
    </w:lvlOverride>
  </w:num>
  <w:num w:numId="12">
    <w:abstractNumId w:val="33"/>
    <w:lvlOverride w:ilvl="1">
      <w:lvl w:ilvl="1">
        <w:numFmt w:val="lowerLetter"/>
        <w:lvlText w:val="%2."/>
        <w:lvlJc w:val="left"/>
      </w:lvl>
    </w:lvlOverride>
    <w:lvlOverride w:ilvl="2">
      <w:lvl w:ilvl="2">
        <w:numFmt w:val="lowerRoman"/>
        <w:lvlText w:val="%3."/>
        <w:lvlJc w:val="right"/>
      </w:lvl>
    </w:lvlOverride>
  </w:num>
  <w:num w:numId="13">
    <w:abstractNumId w:val="0"/>
  </w:num>
  <w:num w:numId="14">
    <w:abstractNumId w:val="7"/>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4"/>
  </w:num>
  <w:num w:numId="25">
    <w:abstractNumId w:val="2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5"/>
  </w:num>
  <w:num w:numId="30">
    <w:abstractNumId w:val="22"/>
  </w:num>
  <w:num w:numId="31">
    <w:abstractNumId w:val="35"/>
  </w:num>
  <w:num w:numId="32">
    <w:abstractNumId w:val="9"/>
  </w:num>
  <w:num w:numId="33">
    <w:abstractNumId w:val="2"/>
  </w:num>
  <w:num w:numId="34">
    <w:abstractNumId w:val="18"/>
  </w:num>
  <w:num w:numId="35">
    <w:abstractNumId w:val="10"/>
  </w:num>
  <w:num w:numId="36">
    <w:abstractNumId w:val="31"/>
  </w:num>
  <w:num w:numId="37">
    <w:abstractNumId w:val="32"/>
  </w:num>
  <w:num w:numId="38">
    <w:abstractNumId w:val="27"/>
  </w:num>
  <w:num w:numId="39">
    <w:abstractNumId w:val="14"/>
  </w:num>
  <w:num w:numId="40">
    <w:abstractNumId w:val="3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40A"/>
    <w:rsid w:val="0000616C"/>
    <w:rsid w:val="00007CF5"/>
    <w:rsid w:val="00054540"/>
    <w:rsid w:val="00077BBF"/>
    <w:rsid w:val="0009373C"/>
    <w:rsid w:val="000B5C50"/>
    <w:rsid w:val="000C6E05"/>
    <w:rsid w:val="000D5DBE"/>
    <w:rsid w:val="000D7DAD"/>
    <w:rsid w:val="00106507"/>
    <w:rsid w:val="00120966"/>
    <w:rsid w:val="00144024"/>
    <w:rsid w:val="001554A1"/>
    <w:rsid w:val="00183C64"/>
    <w:rsid w:val="0019716C"/>
    <w:rsid w:val="00197FF2"/>
    <w:rsid w:val="00202C1F"/>
    <w:rsid w:val="00225D73"/>
    <w:rsid w:val="00235E97"/>
    <w:rsid w:val="00237BC0"/>
    <w:rsid w:val="00240EF9"/>
    <w:rsid w:val="002412FE"/>
    <w:rsid w:val="002423BE"/>
    <w:rsid w:val="0024290C"/>
    <w:rsid w:val="002937AF"/>
    <w:rsid w:val="0029553F"/>
    <w:rsid w:val="002B3751"/>
    <w:rsid w:val="002C4E1F"/>
    <w:rsid w:val="002F36DF"/>
    <w:rsid w:val="0031681C"/>
    <w:rsid w:val="00343E50"/>
    <w:rsid w:val="003511B0"/>
    <w:rsid w:val="00370F40"/>
    <w:rsid w:val="00376B79"/>
    <w:rsid w:val="003972D9"/>
    <w:rsid w:val="003A09DC"/>
    <w:rsid w:val="003B128E"/>
    <w:rsid w:val="003E6017"/>
    <w:rsid w:val="003F1BC4"/>
    <w:rsid w:val="00401667"/>
    <w:rsid w:val="00402476"/>
    <w:rsid w:val="004114BE"/>
    <w:rsid w:val="00426FFF"/>
    <w:rsid w:val="004454F0"/>
    <w:rsid w:val="004542FD"/>
    <w:rsid w:val="00470BE5"/>
    <w:rsid w:val="004F04F9"/>
    <w:rsid w:val="0051297D"/>
    <w:rsid w:val="005A75CC"/>
    <w:rsid w:val="005B775B"/>
    <w:rsid w:val="005F1A82"/>
    <w:rsid w:val="0065460E"/>
    <w:rsid w:val="0067293C"/>
    <w:rsid w:val="00682BB6"/>
    <w:rsid w:val="0069440A"/>
    <w:rsid w:val="006A12AB"/>
    <w:rsid w:val="006A7D5A"/>
    <w:rsid w:val="006F08FD"/>
    <w:rsid w:val="006F42AD"/>
    <w:rsid w:val="00701FA8"/>
    <w:rsid w:val="007037CC"/>
    <w:rsid w:val="00703AF7"/>
    <w:rsid w:val="00745240"/>
    <w:rsid w:val="007639F6"/>
    <w:rsid w:val="00763A59"/>
    <w:rsid w:val="00765DAF"/>
    <w:rsid w:val="00783E0F"/>
    <w:rsid w:val="007A2D95"/>
    <w:rsid w:val="007D75C7"/>
    <w:rsid w:val="007E34B6"/>
    <w:rsid w:val="0080039D"/>
    <w:rsid w:val="00816065"/>
    <w:rsid w:val="00824B0E"/>
    <w:rsid w:val="00833AE5"/>
    <w:rsid w:val="00854CA1"/>
    <w:rsid w:val="0085622A"/>
    <w:rsid w:val="008973BE"/>
    <w:rsid w:val="008B0BFB"/>
    <w:rsid w:val="008B3614"/>
    <w:rsid w:val="008D4881"/>
    <w:rsid w:val="00904262"/>
    <w:rsid w:val="00910070"/>
    <w:rsid w:val="0095429F"/>
    <w:rsid w:val="009824DF"/>
    <w:rsid w:val="009B6221"/>
    <w:rsid w:val="009B6AA8"/>
    <w:rsid w:val="009C7BCC"/>
    <w:rsid w:val="009E0BAB"/>
    <w:rsid w:val="00A0563A"/>
    <w:rsid w:val="00A0760F"/>
    <w:rsid w:val="00A4788C"/>
    <w:rsid w:val="00A7530A"/>
    <w:rsid w:val="00A9306E"/>
    <w:rsid w:val="00A9500F"/>
    <w:rsid w:val="00AA3274"/>
    <w:rsid w:val="00AA3368"/>
    <w:rsid w:val="00AF35AE"/>
    <w:rsid w:val="00AF540F"/>
    <w:rsid w:val="00AF5C55"/>
    <w:rsid w:val="00B00944"/>
    <w:rsid w:val="00B14657"/>
    <w:rsid w:val="00B33D72"/>
    <w:rsid w:val="00B47167"/>
    <w:rsid w:val="00BA6492"/>
    <w:rsid w:val="00BD20AF"/>
    <w:rsid w:val="00BD3D60"/>
    <w:rsid w:val="00BD4CD2"/>
    <w:rsid w:val="00BE1372"/>
    <w:rsid w:val="00C2326F"/>
    <w:rsid w:val="00C25EEF"/>
    <w:rsid w:val="00C502BC"/>
    <w:rsid w:val="00C54447"/>
    <w:rsid w:val="00CA446B"/>
    <w:rsid w:val="00CA4D56"/>
    <w:rsid w:val="00CC1DAB"/>
    <w:rsid w:val="00CC2701"/>
    <w:rsid w:val="00CD1443"/>
    <w:rsid w:val="00D66A1F"/>
    <w:rsid w:val="00D7581C"/>
    <w:rsid w:val="00D87CB2"/>
    <w:rsid w:val="00D96AEB"/>
    <w:rsid w:val="00DA6C74"/>
    <w:rsid w:val="00DB352F"/>
    <w:rsid w:val="00DB57A7"/>
    <w:rsid w:val="00DC077E"/>
    <w:rsid w:val="00DD125F"/>
    <w:rsid w:val="00DD20E2"/>
    <w:rsid w:val="00DF413D"/>
    <w:rsid w:val="00DF5899"/>
    <w:rsid w:val="00E00647"/>
    <w:rsid w:val="00E15BD2"/>
    <w:rsid w:val="00E26651"/>
    <w:rsid w:val="00E26965"/>
    <w:rsid w:val="00E33889"/>
    <w:rsid w:val="00E725F7"/>
    <w:rsid w:val="00E76FF9"/>
    <w:rsid w:val="00F1470E"/>
    <w:rsid w:val="00F17B1F"/>
    <w:rsid w:val="00F3026B"/>
    <w:rsid w:val="00F31F80"/>
    <w:rsid w:val="00FB0141"/>
    <w:rsid w:val="00F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50CC"/>
  <w15:docId w15:val="{1B785C94-5739-4B93-9B16-B728E72F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44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0A"/>
    <w:pPr>
      <w:ind w:left="720"/>
      <w:contextualSpacing/>
    </w:pPr>
  </w:style>
  <w:style w:type="table" w:styleId="TableGrid">
    <w:name w:val="Table Grid"/>
    <w:basedOn w:val="TableNormal"/>
    <w:uiPriority w:val="59"/>
    <w:rsid w:val="00694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440A"/>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69440A"/>
    <w:rPr>
      <w:rFonts w:ascii="Arial" w:eastAsia="Times New Roman" w:hAnsi="Arial" w:cs="Times New Roman"/>
      <w:b/>
      <w:sz w:val="18"/>
      <w:szCs w:val="20"/>
    </w:rPr>
  </w:style>
  <w:style w:type="paragraph" w:styleId="NormalWeb">
    <w:name w:val="Normal (Web)"/>
    <w:basedOn w:val="Normal"/>
    <w:uiPriority w:val="99"/>
    <w:semiHidden/>
    <w:unhideWhenUsed/>
    <w:rsid w:val="0000616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00944"/>
    <w:rPr>
      <w:color w:val="0000FF" w:themeColor="hyperlink"/>
      <w:u w:val="single"/>
    </w:rPr>
  </w:style>
  <w:style w:type="paragraph" w:styleId="Header">
    <w:name w:val="header"/>
    <w:basedOn w:val="Normal"/>
    <w:link w:val="HeaderChar"/>
    <w:uiPriority w:val="99"/>
    <w:unhideWhenUsed/>
    <w:rsid w:val="0029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53F"/>
    <w:rPr>
      <w:rFonts w:ascii="Calibri" w:eastAsia="Calibri" w:hAnsi="Calibri" w:cs="Times New Roman"/>
    </w:rPr>
  </w:style>
  <w:style w:type="paragraph" w:styleId="Footer">
    <w:name w:val="footer"/>
    <w:basedOn w:val="Normal"/>
    <w:link w:val="FooterChar"/>
    <w:uiPriority w:val="99"/>
    <w:unhideWhenUsed/>
    <w:rsid w:val="0029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53F"/>
    <w:rPr>
      <w:rFonts w:ascii="Calibri" w:eastAsia="Calibri" w:hAnsi="Calibri" w:cs="Times New Roman"/>
    </w:rPr>
  </w:style>
  <w:style w:type="paragraph" w:styleId="BalloonText">
    <w:name w:val="Balloon Text"/>
    <w:basedOn w:val="Normal"/>
    <w:link w:val="BalloonTextChar"/>
    <w:uiPriority w:val="99"/>
    <w:semiHidden/>
    <w:unhideWhenUsed/>
    <w:rsid w:val="00295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3F"/>
    <w:rPr>
      <w:rFonts w:ascii="Tahoma" w:eastAsia="Calibri" w:hAnsi="Tahoma" w:cs="Tahoma"/>
      <w:sz w:val="16"/>
      <w:szCs w:val="16"/>
    </w:rPr>
  </w:style>
  <w:style w:type="character" w:styleId="UnresolvedMention">
    <w:name w:val="Unresolved Mention"/>
    <w:basedOn w:val="DefaultParagraphFont"/>
    <w:uiPriority w:val="99"/>
    <w:semiHidden/>
    <w:unhideWhenUsed/>
    <w:rsid w:val="0067293C"/>
    <w:rPr>
      <w:color w:val="605E5C"/>
      <w:shd w:val="clear" w:color="auto" w:fill="E1DFDD"/>
    </w:rPr>
  </w:style>
  <w:style w:type="character" w:styleId="Emphasis">
    <w:name w:val="Emphasis"/>
    <w:basedOn w:val="DefaultParagraphFont"/>
    <w:uiPriority w:val="20"/>
    <w:qFormat/>
    <w:rsid w:val="00A076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62">
      <w:bodyDiv w:val="1"/>
      <w:marLeft w:val="0"/>
      <w:marRight w:val="0"/>
      <w:marTop w:val="0"/>
      <w:marBottom w:val="0"/>
      <w:divBdr>
        <w:top w:val="none" w:sz="0" w:space="0" w:color="auto"/>
        <w:left w:val="none" w:sz="0" w:space="0" w:color="auto"/>
        <w:bottom w:val="none" w:sz="0" w:space="0" w:color="auto"/>
        <w:right w:val="none" w:sz="0" w:space="0" w:color="auto"/>
      </w:divBdr>
      <w:divsChild>
        <w:div w:id="289289486">
          <w:marLeft w:val="821"/>
          <w:marRight w:val="0"/>
          <w:marTop w:val="0"/>
          <w:marBottom w:val="0"/>
          <w:divBdr>
            <w:top w:val="none" w:sz="0" w:space="0" w:color="auto"/>
            <w:left w:val="none" w:sz="0" w:space="0" w:color="auto"/>
            <w:bottom w:val="none" w:sz="0" w:space="0" w:color="auto"/>
            <w:right w:val="none" w:sz="0" w:space="0" w:color="auto"/>
          </w:divBdr>
        </w:div>
      </w:divsChild>
    </w:div>
    <w:div w:id="54209265">
      <w:bodyDiv w:val="1"/>
      <w:marLeft w:val="0"/>
      <w:marRight w:val="0"/>
      <w:marTop w:val="0"/>
      <w:marBottom w:val="0"/>
      <w:divBdr>
        <w:top w:val="none" w:sz="0" w:space="0" w:color="auto"/>
        <w:left w:val="none" w:sz="0" w:space="0" w:color="auto"/>
        <w:bottom w:val="none" w:sz="0" w:space="0" w:color="auto"/>
        <w:right w:val="none" w:sz="0" w:space="0" w:color="auto"/>
      </w:divBdr>
      <w:divsChild>
        <w:div w:id="599337687">
          <w:marLeft w:val="821"/>
          <w:marRight w:val="0"/>
          <w:marTop w:val="0"/>
          <w:marBottom w:val="0"/>
          <w:divBdr>
            <w:top w:val="none" w:sz="0" w:space="0" w:color="auto"/>
            <w:left w:val="none" w:sz="0" w:space="0" w:color="auto"/>
            <w:bottom w:val="none" w:sz="0" w:space="0" w:color="auto"/>
            <w:right w:val="none" w:sz="0" w:space="0" w:color="auto"/>
          </w:divBdr>
        </w:div>
      </w:divsChild>
    </w:div>
    <w:div w:id="126633480">
      <w:bodyDiv w:val="1"/>
      <w:marLeft w:val="0"/>
      <w:marRight w:val="0"/>
      <w:marTop w:val="0"/>
      <w:marBottom w:val="0"/>
      <w:divBdr>
        <w:top w:val="none" w:sz="0" w:space="0" w:color="auto"/>
        <w:left w:val="none" w:sz="0" w:space="0" w:color="auto"/>
        <w:bottom w:val="none" w:sz="0" w:space="0" w:color="auto"/>
        <w:right w:val="none" w:sz="0" w:space="0" w:color="auto"/>
      </w:divBdr>
      <w:divsChild>
        <w:div w:id="1410997790">
          <w:marLeft w:val="432"/>
          <w:marRight w:val="0"/>
          <w:marTop w:val="80"/>
          <w:marBottom w:val="80"/>
          <w:divBdr>
            <w:top w:val="none" w:sz="0" w:space="0" w:color="auto"/>
            <w:left w:val="none" w:sz="0" w:space="0" w:color="auto"/>
            <w:bottom w:val="none" w:sz="0" w:space="0" w:color="auto"/>
            <w:right w:val="none" w:sz="0" w:space="0" w:color="auto"/>
          </w:divBdr>
        </w:div>
      </w:divsChild>
    </w:div>
    <w:div w:id="201525113">
      <w:bodyDiv w:val="1"/>
      <w:marLeft w:val="0"/>
      <w:marRight w:val="0"/>
      <w:marTop w:val="0"/>
      <w:marBottom w:val="0"/>
      <w:divBdr>
        <w:top w:val="none" w:sz="0" w:space="0" w:color="auto"/>
        <w:left w:val="none" w:sz="0" w:space="0" w:color="auto"/>
        <w:bottom w:val="none" w:sz="0" w:space="0" w:color="auto"/>
        <w:right w:val="none" w:sz="0" w:space="0" w:color="auto"/>
      </w:divBdr>
    </w:div>
    <w:div w:id="263609024">
      <w:bodyDiv w:val="1"/>
      <w:marLeft w:val="0"/>
      <w:marRight w:val="0"/>
      <w:marTop w:val="0"/>
      <w:marBottom w:val="0"/>
      <w:divBdr>
        <w:top w:val="none" w:sz="0" w:space="0" w:color="auto"/>
        <w:left w:val="none" w:sz="0" w:space="0" w:color="auto"/>
        <w:bottom w:val="none" w:sz="0" w:space="0" w:color="auto"/>
        <w:right w:val="none" w:sz="0" w:space="0" w:color="auto"/>
      </w:divBdr>
      <w:divsChild>
        <w:div w:id="682047135">
          <w:marLeft w:val="821"/>
          <w:marRight w:val="0"/>
          <w:marTop w:val="0"/>
          <w:marBottom w:val="0"/>
          <w:divBdr>
            <w:top w:val="none" w:sz="0" w:space="0" w:color="auto"/>
            <w:left w:val="none" w:sz="0" w:space="0" w:color="auto"/>
            <w:bottom w:val="none" w:sz="0" w:space="0" w:color="auto"/>
            <w:right w:val="none" w:sz="0" w:space="0" w:color="auto"/>
          </w:divBdr>
        </w:div>
        <w:div w:id="1837913252">
          <w:marLeft w:val="821"/>
          <w:marRight w:val="0"/>
          <w:marTop w:val="0"/>
          <w:marBottom w:val="0"/>
          <w:divBdr>
            <w:top w:val="none" w:sz="0" w:space="0" w:color="auto"/>
            <w:left w:val="none" w:sz="0" w:space="0" w:color="auto"/>
            <w:bottom w:val="none" w:sz="0" w:space="0" w:color="auto"/>
            <w:right w:val="none" w:sz="0" w:space="0" w:color="auto"/>
          </w:divBdr>
        </w:div>
        <w:div w:id="1082919592">
          <w:marLeft w:val="821"/>
          <w:marRight w:val="0"/>
          <w:marTop w:val="0"/>
          <w:marBottom w:val="0"/>
          <w:divBdr>
            <w:top w:val="none" w:sz="0" w:space="0" w:color="auto"/>
            <w:left w:val="none" w:sz="0" w:space="0" w:color="auto"/>
            <w:bottom w:val="none" w:sz="0" w:space="0" w:color="auto"/>
            <w:right w:val="none" w:sz="0" w:space="0" w:color="auto"/>
          </w:divBdr>
        </w:div>
        <w:div w:id="1186823693">
          <w:marLeft w:val="821"/>
          <w:marRight w:val="0"/>
          <w:marTop w:val="0"/>
          <w:marBottom w:val="0"/>
          <w:divBdr>
            <w:top w:val="none" w:sz="0" w:space="0" w:color="auto"/>
            <w:left w:val="none" w:sz="0" w:space="0" w:color="auto"/>
            <w:bottom w:val="none" w:sz="0" w:space="0" w:color="auto"/>
            <w:right w:val="none" w:sz="0" w:space="0" w:color="auto"/>
          </w:divBdr>
        </w:div>
        <w:div w:id="199904545">
          <w:marLeft w:val="821"/>
          <w:marRight w:val="0"/>
          <w:marTop w:val="0"/>
          <w:marBottom w:val="0"/>
          <w:divBdr>
            <w:top w:val="none" w:sz="0" w:space="0" w:color="auto"/>
            <w:left w:val="none" w:sz="0" w:space="0" w:color="auto"/>
            <w:bottom w:val="none" w:sz="0" w:space="0" w:color="auto"/>
            <w:right w:val="none" w:sz="0" w:space="0" w:color="auto"/>
          </w:divBdr>
        </w:div>
      </w:divsChild>
    </w:div>
    <w:div w:id="446656213">
      <w:bodyDiv w:val="1"/>
      <w:marLeft w:val="0"/>
      <w:marRight w:val="0"/>
      <w:marTop w:val="0"/>
      <w:marBottom w:val="0"/>
      <w:divBdr>
        <w:top w:val="none" w:sz="0" w:space="0" w:color="auto"/>
        <w:left w:val="none" w:sz="0" w:space="0" w:color="auto"/>
        <w:bottom w:val="none" w:sz="0" w:space="0" w:color="auto"/>
        <w:right w:val="none" w:sz="0" w:space="0" w:color="auto"/>
      </w:divBdr>
    </w:div>
    <w:div w:id="524710761">
      <w:bodyDiv w:val="1"/>
      <w:marLeft w:val="0"/>
      <w:marRight w:val="0"/>
      <w:marTop w:val="0"/>
      <w:marBottom w:val="0"/>
      <w:divBdr>
        <w:top w:val="none" w:sz="0" w:space="0" w:color="auto"/>
        <w:left w:val="none" w:sz="0" w:space="0" w:color="auto"/>
        <w:bottom w:val="none" w:sz="0" w:space="0" w:color="auto"/>
        <w:right w:val="none" w:sz="0" w:space="0" w:color="auto"/>
      </w:divBdr>
      <w:divsChild>
        <w:div w:id="1317564795">
          <w:marLeft w:val="0"/>
          <w:marRight w:val="0"/>
          <w:marTop w:val="0"/>
          <w:marBottom w:val="0"/>
          <w:divBdr>
            <w:top w:val="none" w:sz="0" w:space="0" w:color="auto"/>
            <w:left w:val="none" w:sz="0" w:space="0" w:color="auto"/>
            <w:bottom w:val="none" w:sz="0" w:space="0" w:color="auto"/>
            <w:right w:val="none" w:sz="0" w:space="0" w:color="auto"/>
          </w:divBdr>
          <w:divsChild>
            <w:div w:id="1453548340">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240527948">
              <w:marLeft w:val="0"/>
              <w:marRight w:val="0"/>
              <w:marTop w:val="0"/>
              <w:marBottom w:val="0"/>
              <w:divBdr>
                <w:top w:val="none" w:sz="0" w:space="0" w:color="auto"/>
                <w:left w:val="none" w:sz="0" w:space="0" w:color="auto"/>
                <w:bottom w:val="none" w:sz="0" w:space="0" w:color="auto"/>
                <w:right w:val="none" w:sz="0" w:space="0" w:color="auto"/>
              </w:divBdr>
            </w:div>
            <w:div w:id="9986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0512">
      <w:bodyDiv w:val="1"/>
      <w:marLeft w:val="0"/>
      <w:marRight w:val="0"/>
      <w:marTop w:val="0"/>
      <w:marBottom w:val="0"/>
      <w:divBdr>
        <w:top w:val="none" w:sz="0" w:space="0" w:color="auto"/>
        <w:left w:val="none" w:sz="0" w:space="0" w:color="auto"/>
        <w:bottom w:val="none" w:sz="0" w:space="0" w:color="auto"/>
        <w:right w:val="none" w:sz="0" w:space="0" w:color="auto"/>
      </w:divBdr>
      <w:divsChild>
        <w:div w:id="400255922">
          <w:marLeft w:val="0"/>
          <w:marRight w:val="0"/>
          <w:marTop w:val="0"/>
          <w:marBottom w:val="0"/>
          <w:divBdr>
            <w:top w:val="none" w:sz="0" w:space="0" w:color="auto"/>
            <w:left w:val="none" w:sz="0" w:space="0" w:color="auto"/>
            <w:bottom w:val="none" w:sz="0" w:space="0" w:color="auto"/>
            <w:right w:val="none" w:sz="0" w:space="0" w:color="auto"/>
          </w:divBdr>
          <w:divsChild>
            <w:div w:id="1626618240">
              <w:marLeft w:val="0"/>
              <w:marRight w:val="0"/>
              <w:marTop w:val="0"/>
              <w:marBottom w:val="0"/>
              <w:divBdr>
                <w:top w:val="none" w:sz="0" w:space="0" w:color="auto"/>
                <w:left w:val="none" w:sz="0" w:space="0" w:color="auto"/>
                <w:bottom w:val="none" w:sz="0" w:space="0" w:color="auto"/>
                <w:right w:val="none" w:sz="0" w:space="0" w:color="auto"/>
              </w:divBdr>
            </w:div>
            <w:div w:id="207422308">
              <w:marLeft w:val="0"/>
              <w:marRight w:val="0"/>
              <w:marTop w:val="0"/>
              <w:marBottom w:val="0"/>
              <w:divBdr>
                <w:top w:val="none" w:sz="0" w:space="0" w:color="auto"/>
                <w:left w:val="none" w:sz="0" w:space="0" w:color="auto"/>
                <w:bottom w:val="none" w:sz="0" w:space="0" w:color="auto"/>
                <w:right w:val="none" w:sz="0" w:space="0" w:color="auto"/>
              </w:divBdr>
            </w:div>
            <w:div w:id="349338930">
              <w:marLeft w:val="0"/>
              <w:marRight w:val="0"/>
              <w:marTop w:val="0"/>
              <w:marBottom w:val="0"/>
              <w:divBdr>
                <w:top w:val="none" w:sz="0" w:space="0" w:color="auto"/>
                <w:left w:val="none" w:sz="0" w:space="0" w:color="auto"/>
                <w:bottom w:val="none" w:sz="0" w:space="0" w:color="auto"/>
                <w:right w:val="none" w:sz="0" w:space="0" w:color="auto"/>
              </w:divBdr>
            </w:div>
            <w:div w:id="6627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9470">
      <w:bodyDiv w:val="1"/>
      <w:marLeft w:val="0"/>
      <w:marRight w:val="0"/>
      <w:marTop w:val="0"/>
      <w:marBottom w:val="0"/>
      <w:divBdr>
        <w:top w:val="none" w:sz="0" w:space="0" w:color="auto"/>
        <w:left w:val="none" w:sz="0" w:space="0" w:color="auto"/>
        <w:bottom w:val="none" w:sz="0" w:space="0" w:color="auto"/>
        <w:right w:val="none" w:sz="0" w:space="0" w:color="auto"/>
      </w:divBdr>
    </w:div>
    <w:div w:id="967710322">
      <w:bodyDiv w:val="1"/>
      <w:marLeft w:val="0"/>
      <w:marRight w:val="0"/>
      <w:marTop w:val="0"/>
      <w:marBottom w:val="0"/>
      <w:divBdr>
        <w:top w:val="none" w:sz="0" w:space="0" w:color="auto"/>
        <w:left w:val="none" w:sz="0" w:space="0" w:color="auto"/>
        <w:bottom w:val="none" w:sz="0" w:space="0" w:color="auto"/>
        <w:right w:val="none" w:sz="0" w:space="0" w:color="auto"/>
      </w:divBdr>
      <w:divsChild>
        <w:div w:id="1900048403">
          <w:marLeft w:val="432"/>
          <w:marRight w:val="0"/>
          <w:marTop w:val="80"/>
          <w:marBottom w:val="80"/>
          <w:divBdr>
            <w:top w:val="none" w:sz="0" w:space="0" w:color="auto"/>
            <w:left w:val="none" w:sz="0" w:space="0" w:color="auto"/>
            <w:bottom w:val="none" w:sz="0" w:space="0" w:color="auto"/>
            <w:right w:val="none" w:sz="0" w:space="0" w:color="auto"/>
          </w:divBdr>
        </w:div>
        <w:div w:id="1876430756">
          <w:marLeft w:val="432"/>
          <w:marRight w:val="0"/>
          <w:marTop w:val="80"/>
          <w:marBottom w:val="80"/>
          <w:divBdr>
            <w:top w:val="none" w:sz="0" w:space="0" w:color="auto"/>
            <w:left w:val="none" w:sz="0" w:space="0" w:color="auto"/>
            <w:bottom w:val="none" w:sz="0" w:space="0" w:color="auto"/>
            <w:right w:val="none" w:sz="0" w:space="0" w:color="auto"/>
          </w:divBdr>
        </w:div>
        <w:div w:id="276716832">
          <w:marLeft w:val="432"/>
          <w:marRight w:val="0"/>
          <w:marTop w:val="80"/>
          <w:marBottom w:val="80"/>
          <w:divBdr>
            <w:top w:val="none" w:sz="0" w:space="0" w:color="auto"/>
            <w:left w:val="none" w:sz="0" w:space="0" w:color="auto"/>
            <w:bottom w:val="none" w:sz="0" w:space="0" w:color="auto"/>
            <w:right w:val="none" w:sz="0" w:space="0" w:color="auto"/>
          </w:divBdr>
        </w:div>
      </w:divsChild>
    </w:div>
    <w:div w:id="1014574642">
      <w:bodyDiv w:val="1"/>
      <w:marLeft w:val="0"/>
      <w:marRight w:val="0"/>
      <w:marTop w:val="0"/>
      <w:marBottom w:val="0"/>
      <w:divBdr>
        <w:top w:val="none" w:sz="0" w:space="0" w:color="auto"/>
        <w:left w:val="none" w:sz="0" w:space="0" w:color="auto"/>
        <w:bottom w:val="none" w:sz="0" w:space="0" w:color="auto"/>
        <w:right w:val="none" w:sz="0" w:space="0" w:color="auto"/>
      </w:divBdr>
      <w:divsChild>
        <w:div w:id="2104452075">
          <w:marLeft w:val="432"/>
          <w:marRight w:val="0"/>
          <w:marTop w:val="80"/>
          <w:marBottom w:val="80"/>
          <w:divBdr>
            <w:top w:val="none" w:sz="0" w:space="0" w:color="auto"/>
            <w:left w:val="none" w:sz="0" w:space="0" w:color="auto"/>
            <w:bottom w:val="none" w:sz="0" w:space="0" w:color="auto"/>
            <w:right w:val="none" w:sz="0" w:space="0" w:color="auto"/>
          </w:divBdr>
        </w:div>
        <w:div w:id="1194924696">
          <w:marLeft w:val="432"/>
          <w:marRight w:val="0"/>
          <w:marTop w:val="80"/>
          <w:marBottom w:val="80"/>
          <w:divBdr>
            <w:top w:val="none" w:sz="0" w:space="0" w:color="auto"/>
            <w:left w:val="none" w:sz="0" w:space="0" w:color="auto"/>
            <w:bottom w:val="none" w:sz="0" w:space="0" w:color="auto"/>
            <w:right w:val="none" w:sz="0" w:space="0" w:color="auto"/>
          </w:divBdr>
        </w:div>
        <w:div w:id="33510230">
          <w:marLeft w:val="432"/>
          <w:marRight w:val="0"/>
          <w:marTop w:val="80"/>
          <w:marBottom w:val="80"/>
          <w:divBdr>
            <w:top w:val="none" w:sz="0" w:space="0" w:color="auto"/>
            <w:left w:val="none" w:sz="0" w:space="0" w:color="auto"/>
            <w:bottom w:val="none" w:sz="0" w:space="0" w:color="auto"/>
            <w:right w:val="none" w:sz="0" w:space="0" w:color="auto"/>
          </w:divBdr>
        </w:div>
      </w:divsChild>
    </w:div>
    <w:div w:id="1043871685">
      <w:bodyDiv w:val="1"/>
      <w:marLeft w:val="0"/>
      <w:marRight w:val="0"/>
      <w:marTop w:val="0"/>
      <w:marBottom w:val="0"/>
      <w:divBdr>
        <w:top w:val="none" w:sz="0" w:space="0" w:color="auto"/>
        <w:left w:val="none" w:sz="0" w:space="0" w:color="auto"/>
        <w:bottom w:val="none" w:sz="0" w:space="0" w:color="auto"/>
        <w:right w:val="none" w:sz="0" w:space="0" w:color="auto"/>
      </w:divBdr>
      <w:divsChild>
        <w:div w:id="1993440071">
          <w:marLeft w:val="821"/>
          <w:marRight w:val="0"/>
          <w:marTop w:val="0"/>
          <w:marBottom w:val="0"/>
          <w:divBdr>
            <w:top w:val="none" w:sz="0" w:space="0" w:color="auto"/>
            <w:left w:val="none" w:sz="0" w:space="0" w:color="auto"/>
            <w:bottom w:val="none" w:sz="0" w:space="0" w:color="auto"/>
            <w:right w:val="none" w:sz="0" w:space="0" w:color="auto"/>
          </w:divBdr>
        </w:div>
        <w:div w:id="1884171333">
          <w:marLeft w:val="821"/>
          <w:marRight w:val="0"/>
          <w:marTop w:val="0"/>
          <w:marBottom w:val="0"/>
          <w:divBdr>
            <w:top w:val="none" w:sz="0" w:space="0" w:color="auto"/>
            <w:left w:val="none" w:sz="0" w:space="0" w:color="auto"/>
            <w:bottom w:val="none" w:sz="0" w:space="0" w:color="auto"/>
            <w:right w:val="none" w:sz="0" w:space="0" w:color="auto"/>
          </w:divBdr>
        </w:div>
        <w:div w:id="1042827502">
          <w:marLeft w:val="821"/>
          <w:marRight w:val="0"/>
          <w:marTop w:val="0"/>
          <w:marBottom w:val="0"/>
          <w:divBdr>
            <w:top w:val="none" w:sz="0" w:space="0" w:color="auto"/>
            <w:left w:val="none" w:sz="0" w:space="0" w:color="auto"/>
            <w:bottom w:val="none" w:sz="0" w:space="0" w:color="auto"/>
            <w:right w:val="none" w:sz="0" w:space="0" w:color="auto"/>
          </w:divBdr>
        </w:div>
        <w:div w:id="1858276788">
          <w:marLeft w:val="821"/>
          <w:marRight w:val="0"/>
          <w:marTop w:val="0"/>
          <w:marBottom w:val="0"/>
          <w:divBdr>
            <w:top w:val="none" w:sz="0" w:space="0" w:color="auto"/>
            <w:left w:val="none" w:sz="0" w:space="0" w:color="auto"/>
            <w:bottom w:val="none" w:sz="0" w:space="0" w:color="auto"/>
            <w:right w:val="none" w:sz="0" w:space="0" w:color="auto"/>
          </w:divBdr>
        </w:div>
        <w:div w:id="1331450540">
          <w:marLeft w:val="821"/>
          <w:marRight w:val="0"/>
          <w:marTop w:val="0"/>
          <w:marBottom w:val="0"/>
          <w:divBdr>
            <w:top w:val="none" w:sz="0" w:space="0" w:color="auto"/>
            <w:left w:val="none" w:sz="0" w:space="0" w:color="auto"/>
            <w:bottom w:val="none" w:sz="0" w:space="0" w:color="auto"/>
            <w:right w:val="none" w:sz="0" w:space="0" w:color="auto"/>
          </w:divBdr>
        </w:div>
      </w:divsChild>
    </w:div>
    <w:div w:id="1249534892">
      <w:bodyDiv w:val="1"/>
      <w:marLeft w:val="0"/>
      <w:marRight w:val="0"/>
      <w:marTop w:val="0"/>
      <w:marBottom w:val="0"/>
      <w:divBdr>
        <w:top w:val="none" w:sz="0" w:space="0" w:color="auto"/>
        <w:left w:val="none" w:sz="0" w:space="0" w:color="auto"/>
        <w:bottom w:val="none" w:sz="0" w:space="0" w:color="auto"/>
        <w:right w:val="none" w:sz="0" w:space="0" w:color="auto"/>
      </w:divBdr>
    </w:div>
    <w:div w:id="1398551807">
      <w:bodyDiv w:val="1"/>
      <w:marLeft w:val="0"/>
      <w:marRight w:val="0"/>
      <w:marTop w:val="0"/>
      <w:marBottom w:val="0"/>
      <w:divBdr>
        <w:top w:val="none" w:sz="0" w:space="0" w:color="auto"/>
        <w:left w:val="none" w:sz="0" w:space="0" w:color="auto"/>
        <w:bottom w:val="none" w:sz="0" w:space="0" w:color="auto"/>
        <w:right w:val="none" w:sz="0" w:space="0" w:color="auto"/>
      </w:divBdr>
    </w:div>
    <w:div w:id="1411078532">
      <w:bodyDiv w:val="1"/>
      <w:marLeft w:val="0"/>
      <w:marRight w:val="0"/>
      <w:marTop w:val="0"/>
      <w:marBottom w:val="0"/>
      <w:divBdr>
        <w:top w:val="none" w:sz="0" w:space="0" w:color="auto"/>
        <w:left w:val="none" w:sz="0" w:space="0" w:color="auto"/>
        <w:bottom w:val="none" w:sz="0" w:space="0" w:color="auto"/>
        <w:right w:val="none" w:sz="0" w:space="0" w:color="auto"/>
      </w:divBdr>
      <w:divsChild>
        <w:div w:id="1000931443">
          <w:marLeft w:val="288"/>
          <w:marRight w:val="0"/>
          <w:marTop w:val="80"/>
          <w:marBottom w:val="40"/>
          <w:divBdr>
            <w:top w:val="none" w:sz="0" w:space="0" w:color="auto"/>
            <w:left w:val="none" w:sz="0" w:space="0" w:color="auto"/>
            <w:bottom w:val="none" w:sz="0" w:space="0" w:color="auto"/>
            <w:right w:val="none" w:sz="0" w:space="0" w:color="auto"/>
          </w:divBdr>
        </w:div>
      </w:divsChild>
    </w:div>
    <w:div w:id="1450779479">
      <w:bodyDiv w:val="1"/>
      <w:marLeft w:val="0"/>
      <w:marRight w:val="0"/>
      <w:marTop w:val="0"/>
      <w:marBottom w:val="0"/>
      <w:divBdr>
        <w:top w:val="none" w:sz="0" w:space="0" w:color="auto"/>
        <w:left w:val="none" w:sz="0" w:space="0" w:color="auto"/>
        <w:bottom w:val="none" w:sz="0" w:space="0" w:color="auto"/>
        <w:right w:val="none" w:sz="0" w:space="0" w:color="auto"/>
      </w:divBdr>
      <w:divsChild>
        <w:div w:id="1372530146">
          <w:marLeft w:val="288"/>
          <w:marRight w:val="0"/>
          <w:marTop w:val="80"/>
          <w:marBottom w:val="40"/>
          <w:divBdr>
            <w:top w:val="none" w:sz="0" w:space="0" w:color="auto"/>
            <w:left w:val="none" w:sz="0" w:space="0" w:color="auto"/>
            <w:bottom w:val="none" w:sz="0" w:space="0" w:color="auto"/>
            <w:right w:val="none" w:sz="0" w:space="0" w:color="auto"/>
          </w:divBdr>
        </w:div>
        <w:div w:id="87580427">
          <w:marLeft w:val="288"/>
          <w:marRight w:val="0"/>
          <w:marTop w:val="80"/>
          <w:marBottom w:val="40"/>
          <w:divBdr>
            <w:top w:val="none" w:sz="0" w:space="0" w:color="auto"/>
            <w:left w:val="none" w:sz="0" w:space="0" w:color="auto"/>
            <w:bottom w:val="none" w:sz="0" w:space="0" w:color="auto"/>
            <w:right w:val="none" w:sz="0" w:space="0" w:color="auto"/>
          </w:divBdr>
        </w:div>
      </w:divsChild>
    </w:div>
    <w:div w:id="1671758126">
      <w:bodyDiv w:val="1"/>
      <w:marLeft w:val="0"/>
      <w:marRight w:val="0"/>
      <w:marTop w:val="0"/>
      <w:marBottom w:val="0"/>
      <w:divBdr>
        <w:top w:val="none" w:sz="0" w:space="0" w:color="auto"/>
        <w:left w:val="none" w:sz="0" w:space="0" w:color="auto"/>
        <w:bottom w:val="none" w:sz="0" w:space="0" w:color="auto"/>
        <w:right w:val="none" w:sz="0" w:space="0" w:color="auto"/>
      </w:divBdr>
      <w:divsChild>
        <w:div w:id="120222624">
          <w:marLeft w:val="0"/>
          <w:marRight w:val="0"/>
          <w:marTop w:val="0"/>
          <w:marBottom w:val="0"/>
          <w:divBdr>
            <w:top w:val="none" w:sz="0" w:space="0" w:color="auto"/>
            <w:left w:val="none" w:sz="0" w:space="0" w:color="auto"/>
            <w:bottom w:val="none" w:sz="0" w:space="0" w:color="auto"/>
            <w:right w:val="none" w:sz="0" w:space="0" w:color="auto"/>
          </w:divBdr>
        </w:div>
      </w:divsChild>
    </w:div>
    <w:div w:id="1762948205">
      <w:bodyDiv w:val="1"/>
      <w:marLeft w:val="0"/>
      <w:marRight w:val="0"/>
      <w:marTop w:val="0"/>
      <w:marBottom w:val="0"/>
      <w:divBdr>
        <w:top w:val="none" w:sz="0" w:space="0" w:color="auto"/>
        <w:left w:val="none" w:sz="0" w:space="0" w:color="auto"/>
        <w:bottom w:val="none" w:sz="0" w:space="0" w:color="auto"/>
        <w:right w:val="none" w:sz="0" w:space="0" w:color="auto"/>
      </w:divBdr>
      <w:divsChild>
        <w:div w:id="1205945185">
          <w:marLeft w:val="300"/>
          <w:marRight w:val="0"/>
          <w:marTop w:val="0"/>
          <w:marBottom w:val="0"/>
          <w:divBdr>
            <w:top w:val="none" w:sz="0" w:space="0" w:color="auto"/>
            <w:left w:val="none" w:sz="0" w:space="0" w:color="auto"/>
            <w:bottom w:val="none" w:sz="0" w:space="0" w:color="auto"/>
            <w:right w:val="none" w:sz="0" w:space="0" w:color="auto"/>
          </w:divBdr>
        </w:div>
        <w:div w:id="102268542">
          <w:marLeft w:val="300"/>
          <w:marRight w:val="0"/>
          <w:marTop w:val="0"/>
          <w:marBottom w:val="0"/>
          <w:divBdr>
            <w:top w:val="none" w:sz="0" w:space="0" w:color="auto"/>
            <w:left w:val="none" w:sz="0" w:space="0" w:color="auto"/>
            <w:bottom w:val="none" w:sz="0" w:space="0" w:color="auto"/>
            <w:right w:val="none" w:sz="0" w:space="0" w:color="auto"/>
          </w:divBdr>
        </w:div>
        <w:div w:id="1261134697">
          <w:marLeft w:val="300"/>
          <w:marRight w:val="0"/>
          <w:marTop w:val="0"/>
          <w:marBottom w:val="0"/>
          <w:divBdr>
            <w:top w:val="none" w:sz="0" w:space="0" w:color="auto"/>
            <w:left w:val="none" w:sz="0" w:space="0" w:color="auto"/>
            <w:bottom w:val="none" w:sz="0" w:space="0" w:color="auto"/>
            <w:right w:val="none" w:sz="0" w:space="0" w:color="auto"/>
          </w:divBdr>
        </w:div>
        <w:div w:id="1678146525">
          <w:marLeft w:val="300"/>
          <w:marRight w:val="0"/>
          <w:marTop w:val="0"/>
          <w:marBottom w:val="0"/>
          <w:divBdr>
            <w:top w:val="none" w:sz="0" w:space="0" w:color="auto"/>
            <w:left w:val="none" w:sz="0" w:space="0" w:color="auto"/>
            <w:bottom w:val="none" w:sz="0" w:space="0" w:color="auto"/>
            <w:right w:val="none" w:sz="0" w:space="0" w:color="auto"/>
          </w:divBdr>
        </w:div>
        <w:div w:id="174350141">
          <w:marLeft w:val="600"/>
          <w:marRight w:val="0"/>
          <w:marTop w:val="0"/>
          <w:marBottom w:val="0"/>
          <w:divBdr>
            <w:top w:val="none" w:sz="0" w:space="0" w:color="auto"/>
            <w:left w:val="none" w:sz="0" w:space="0" w:color="auto"/>
            <w:bottom w:val="none" w:sz="0" w:space="0" w:color="auto"/>
            <w:right w:val="none" w:sz="0" w:space="0" w:color="auto"/>
          </w:divBdr>
        </w:div>
        <w:div w:id="1308975165">
          <w:marLeft w:val="300"/>
          <w:marRight w:val="0"/>
          <w:marTop w:val="0"/>
          <w:marBottom w:val="0"/>
          <w:divBdr>
            <w:top w:val="none" w:sz="0" w:space="0" w:color="auto"/>
            <w:left w:val="none" w:sz="0" w:space="0" w:color="auto"/>
            <w:bottom w:val="none" w:sz="0" w:space="0" w:color="auto"/>
            <w:right w:val="none" w:sz="0" w:space="0" w:color="auto"/>
          </w:divBdr>
        </w:div>
        <w:div w:id="473913493">
          <w:marLeft w:val="300"/>
          <w:marRight w:val="0"/>
          <w:marTop w:val="0"/>
          <w:marBottom w:val="0"/>
          <w:divBdr>
            <w:top w:val="none" w:sz="0" w:space="0" w:color="auto"/>
            <w:left w:val="none" w:sz="0" w:space="0" w:color="auto"/>
            <w:bottom w:val="none" w:sz="0" w:space="0" w:color="auto"/>
            <w:right w:val="none" w:sz="0" w:space="0" w:color="auto"/>
          </w:divBdr>
        </w:div>
      </w:divsChild>
    </w:div>
    <w:div w:id="1916550073">
      <w:bodyDiv w:val="1"/>
      <w:marLeft w:val="0"/>
      <w:marRight w:val="0"/>
      <w:marTop w:val="0"/>
      <w:marBottom w:val="0"/>
      <w:divBdr>
        <w:top w:val="none" w:sz="0" w:space="0" w:color="auto"/>
        <w:left w:val="none" w:sz="0" w:space="0" w:color="auto"/>
        <w:bottom w:val="none" w:sz="0" w:space="0" w:color="auto"/>
        <w:right w:val="none" w:sz="0" w:space="0" w:color="auto"/>
      </w:divBdr>
      <w:divsChild>
        <w:div w:id="2069917450">
          <w:marLeft w:val="821"/>
          <w:marRight w:val="0"/>
          <w:marTop w:val="0"/>
          <w:marBottom w:val="0"/>
          <w:divBdr>
            <w:top w:val="none" w:sz="0" w:space="0" w:color="auto"/>
            <w:left w:val="none" w:sz="0" w:space="0" w:color="auto"/>
            <w:bottom w:val="none" w:sz="0" w:space="0" w:color="auto"/>
            <w:right w:val="none" w:sz="0" w:space="0" w:color="auto"/>
          </w:divBdr>
        </w:div>
      </w:divsChild>
    </w:div>
    <w:div w:id="2041318759">
      <w:bodyDiv w:val="1"/>
      <w:marLeft w:val="0"/>
      <w:marRight w:val="0"/>
      <w:marTop w:val="0"/>
      <w:marBottom w:val="0"/>
      <w:divBdr>
        <w:top w:val="none" w:sz="0" w:space="0" w:color="auto"/>
        <w:left w:val="none" w:sz="0" w:space="0" w:color="auto"/>
        <w:bottom w:val="none" w:sz="0" w:space="0" w:color="auto"/>
        <w:right w:val="none" w:sz="0" w:space="0" w:color="auto"/>
      </w:divBdr>
      <w:divsChild>
        <w:div w:id="1659573986">
          <w:marLeft w:val="0"/>
          <w:marRight w:val="0"/>
          <w:marTop w:val="0"/>
          <w:marBottom w:val="0"/>
          <w:divBdr>
            <w:top w:val="none" w:sz="0" w:space="0" w:color="auto"/>
            <w:left w:val="none" w:sz="0" w:space="0" w:color="auto"/>
            <w:bottom w:val="none" w:sz="0" w:space="0" w:color="auto"/>
            <w:right w:val="none" w:sz="0" w:space="0" w:color="auto"/>
          </w:divBdr>
          <w:divsChild>
            <w:div w:id="1373768130">
              <w:marLeft w:val="0"/>
              <w:marRight w:val="0"/>
              <w:marTop w:val="0"/>
              <w:marBottom w:val="0"/>
              <w:divBdr>
                <w:top w:val="none" w:sz="0" w:space="0" w:color="auto"/>
                <w:left w:val="none" w:sz="0" w:space="0" w:color="auto"/>
                <w:bottom w:val="none" w:sz="0" w:space="0" w:color="auto"/>
                <w:right w:val="none" w:sz="0" w:space="0" w:color="auto"/>
              </w:divBdr>
              <w:divsChild>
                <w:div w:id="381713245">
                  <w:marLeft w:val="0"/>
                  <w:marRight w:val="0"/>
                  <w:marTop w:val="0"/>
                  <w:marBottom w:val="0"/>
                  <w:divBdr>
                    <w:top w:val="none" w:sz="0" w:space="0" w:color="auto"/>
                    <w:left w:val="none" w:sz="0" w:space="0" w:color="auto"/>
                    <w:bottom w:val="none" w:sz="0" w:space="0" w:color="auto"/>
                    <w:right w:val="none" w:sz="0" w:space="0" w:color="auto"/>
                  </w:divBdr>
                  <w:divsChild>
                    <w:div w:id="1102384520">
                      <w:marLeft w:val="0"/>
                      <w:marRight w:val="0"/>
                      <w:marTop w:val="0"/>
                      <w:marBottom w:val="0"/>
                      <w:divBdr>
                        <w:top w:val="none" w:sz="0" w:space="0" w:color="auto"/>
                        <w:left w:val="none" w:sz="0" w:space="0" w:color="auto"/>
                        <w:bottom w:val="none" w:sz="0" w:space="0" w:color="auto"/>
                        <w:right w:val="none" w:sz="0" w:space="0" w:color="auto"/>
                      </w:divBdr>
                      <w:divsChild>
                        <w:div w:id="1044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2071">
              <w:marLeft w:val="0"/>
              <w:marRight w:val="0"/>
              <w:marTop w:val="0"/>
              <w:marBottom w:val="0"/>
              <w:divBdr>
                <w:top w:val="none" w:sz="0" w:space="0" w:color="auto"/>
                <w:left w:val="none" w:sz="0" w:space="0" w:color="auto"/>
                <w:bottom w:val="none" w:sz="0" w:space="0" w:color="auto"/>
                <w:right w:val="none" w:sz="0" w:space="0" w:color="auto"/>
              </w:divBdr>
            </w:div>
            <w:div w:id="449711740">
              <w:marLeft w:val="0"/>
              <w:marRight w:val="0"/>
              <w:marTop w:val="0"/>
              <w:marBottom w:val="0"/>
              <w:divBdr>
                <w:top w:val="none" w:sz="0" w:space="0" w:color="auto"/>
                <w:left w:val="none" w:sz="0" w:space="0" w:color="auto"/>
                <w:bottom w:val="none" w:sz="0" w:space="0" w:color="auto"/>
                <w:right w:val="none" w:sz="0" w:space="0" w:color="auto"/>
              </w:divBdr>
              <w:divsChild>
                <w:div w:id="1141190785">
                  <w:marLeft w:val="0"/>
                  <w:marRight w:val="0"/>
                  <w:marTop w:val="0"/>
                  <w:marBottom w:val="0"/>
                  <w:divBdr>
                    <w:top w:val="none" w:sz="0" w:space="0" w:color="auto"/>
                    <w:left w:val="none" w:sz="0" w:space="0" w:color="auto"/>
                    <w:bottom w:val="none" w:sz="0" w:space="0" w:color="auto"/>
                    <w:right w:val="none" w:sz="0" w:space="0" w:color="auto"/>
                  </w:divBdr>
                  <w:divsChild>
                    <w:div w:id="1574199451">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9955">
                  <w:marLeft w:val="0"/>
                  <w:marRight w:val="0"/>
                  <w:marTop w:val="0"/>
                  <w:marBottom w:val="0"/>
                  <w:divBdr>
                    <w:top w:val="none" w:sz="0" w:space="0" w:color="auto"/>
                    <w:left w:val="none" w:sz="0" w:space="0" w:color="auto"/>
                    <w:bottom w:val="none" w:sz="0" w:space="0" w:color="auto"/>
                    <w:right w:val="none" w:sz="0" w:space="0" w:color="auto"/>
                  </w:divBdr>
                </w:div>
              </w:divsChild>
            </w:div>
            <w:div w:id="731854246">
              <w:marLeft w:val="0"/>
              <w:marRight w:val="0"/>
              <w:marTop w:val="0"/>
              <w:marBottom w:val="0"/>
              <w:divBdr>
                <w:top w:val="none" w:sz="0" w:space="0" w:color="auto"/>
                <w:left w:val="none" w:sz="0" w:space="0" w:color="auto"/>
                <w:bottom w:val="none" w:sz="0" w:space="0" w:color="auto"/>
                <w:right w:val="none" w:sz="0" w:space="0" w:color="auto"/>
              </w:divBdr>
            </w:div>
            <w:div w:id="785391871">
              <w:marLeft w:val="0"/>
              <w:marRight w:val="0"/>
              <w:marTop w:val="0"/>
              <w:marBottom w:val="0"/>
              <w:divBdr>
                <w:top w:val="none" w:sz="0" w:space="0" w:color="auto"/>
                <w:left w:val="none" w:sz="0" w:space="0" w:color="auto"/>
                <w:bottom w:val="none" w:sz="0" w:space="0" w:color="auto"/>
                <w:right w:val="none" w:sz="0" w:space="0" w:color="auto"/>
              </w:divBdr>
              <w:divsChild>
                <w:div w:id="45298369">
                  <w:marLeft w:val="0"/>
                  <w:marRight w:val="0"/>
                  <w:marTop w:val="0"/>
                  <w:marBottom w:val="0"/>
                  <w:divBdr>
                    <w:top w:val="none" w:sz="0" w:space="0" w:color="auto"/>
                    <w:left w:val="none" w:sz="0" w:space="0" w:color="auto"/>
                    <w:bottom w:val="none" w:sz="0" w:space="0" w:color="auto"/>
                    <w:right w:val="none" w:sz="0" w:space="0" w:color="auto"/>
                  </w:divBdr>
                  <w:divsChild>
                    <w:div w:id="167062845">
                      <w:marLeft w:val="0"/>
                      <w:marRight w:val="0"/>
                      <w:marTop w:val="0"/>
                      <w:marBottom w:val="0"/>
                      <w:divBdr>
                        <w:top w:val="none" w:sz="0" w:space="0" w:color="auto"/>
                        <w:left w:val="none" w:sz="0" w:space="0" w:color="auto"/>
                        <w:bottom w:val="none" w:sz="0" w:space="0" w:color="auto"/>
                        <w:right w:val="none" w:sz="0" w:space="0" w:color="auto"/>
                      </w:divBdr>
                      <w:divsChild>
                        <w:div w:id="10877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treasury.gov/system/files/136/PPP-Borrower-Application-Form-Fillable.pdf" TargetMode="External"/><Relationship Id="rId18" Type="http://schemas.openxmlformats.org/officeDocument/2006/relationships/hyperlink" Target="https://www.federalregister.gov/d/2019-21557/p-3" TargetMode="External"/><Relationship Id="rId26" Type="http://schemas.openxmlformats.org/officeDocument/2006/relationships/hyperlink" Target="https://www.ecfr.gov/cgi-bin/text-idx?SID=063c80511ea1ede41accf79ee3bf3cef&amp;mc=true&amp;node=se12.5.339_13&amp;rgn=div8" TargetMode="External"/><Relationship Id="rId39" Type="http://schemas.openxmlformats.org/officeDocument/2006/relationships/theme" Target="theme/theme1.xml"/><Relationship Id="rId21" Type="http://schemas.openxmlformats.org/officeDocument/2006/relationships/hyperlink" Target="https://www.consumerfinance.gov/policy-compliance/rulemaking/regulations/1026/41/" TargetMode="External"/><Relationship Id="rId34" Type="http://schemas.openxmlformats.org/officeDocument/2006/relationships/hyperlink" Target="https://home.treasury.gov/system/files/136/PPP-Borrower-Application-Form-Fillable.pdf" TargetMode="External"/><Relationship Id="rId7" Type="http://schemas.openxmlformats.org/officeDocument/2006/relationships/settings" Target="settings.xml"/><Relationship Id="rId12" Type="http://schemas.openxmlformats.org/officeDocument/2006/relationships/hyperlink" Target="https://www.fincen.gov/sites/default/files/2020-04/Paycheck_Protection_Program_FAQs.pdf" TargetMode="External"/><Relationship Id="rId17" Type="http://schemas.openxmlformats.org/officeDocument/2006/relationships/hyperlink" Target="https://www.consumerfinance.gov/policy-compliance/rulemaking/regulations/1026/41/" TargetMode="External"/><Relationship Id="rId25" Type="http://schemas.openxmlformats.org/officeDocument/2006/relationships/hyperlink" Target="https://compliancealliance.com/pandemic-resources" TargetMode="External"/><Relationship Id="rId33" Type="http://schemas.openxmlformats.org/officeDocument/2006/relationships/hyperlink" Target="https://www.sba.gov/sites/default/files/2019-02/SOP%2050%2010%205%28K%29%20FINAL%202.15.19%20SECURED%20copy%20paste.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nsumerfinance.gov/policy-compliance/rulemaking/regulations/1026/7/" TargetMode="External"/><Relationship Id="rId20" Type="http://schemas.openxmlformats.org/officeDocument/2006/relationships/hyperlink" Target="https://www.consumerfinance.gov/policy-compliance/rulemaking/regulations/1026/5/" TargetMode="External"/><Relationship Id="rId29" Type="http://schemas.openxmlformats.org/officeDocument/2006/relationships/hyperlink" Target="https://www.sba.gov/sites/default/files/files/SOP_50_57_2_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dic.gov/news/news/press/2020/pr20038a.pdf" TargetMode="External"/><Relationship Id="rId32" Type="http://schemas.openxmlformats.org/officeDocument/2006/relationships/hyperlink" Target="https://compliancealliance.com/find-a-tool/tool/covid-19-cares-act-stimulus-check-faqs"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saaml.ffiec.gov/manual/RegulatoryRequirements/01" TargetMode="External"/><Relationship Id="rId23" Type="http://schemas.openxmlformats.org/officeDocument/2006/relationships/hyperlink" Target="https://www.fdic.gov/news/news/financial/2020/fil20017a.pdf?utm_campaign=NEWSBYTES-20200316&amp;utm_medium=email&amp;utm_source=Eloqua%C2%A0" TargetMode="External"/><Relationship Id="rId28" Type="http://schemas.openxmlformats.org/officeDocument/2006/relationships/hyperlink" Target="https://www.federalregister.gov/d/2015-15956/p-193" TargetMode="External"/><Relationship Id="rId36" Type="http://schemas.openxmlformats.org/officeDocument/2006/relationships/hyperlink" Target="https://www.fdic.gov/coronavirus/smallbusiness/faq-sb.pdf" TargetMode="External"/><Relationship Id="rId10" Type="http://schemas.openxmlformats.org/officeDocument/2006/relationships/endnotes" Target="endnotes.xml"/><Relationship Id="rId19" Type="http://schemas.openxmlformats.org/officeDocument/2006/relationships/hyperlink" Target="https://www.consumerfinance.gov/policy-compliance/rulemaking/regulations/1026/7/" TargetMode="External"/><Relationship Id="rId31" Type="http://schemas.openxmlformats.org/officeDocument/2006/relationships/hyperlink" Target="https://colsonservices.bnymellon.com/index.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liancealliance.com/find-a-tool/tool/covid-19-help-sheet" TargetMode="External"/><Relationship Id="rId22" Type="http://schemas.openxmlformats.org/officeDocument/2006/relationships/hyperlink" Target="https://www.consumerfinance.gov/policy-compliance/rulemaking/regulations/1026/41/" TargetMode="External"/><Relationship Id="rId27" Type="http://schemas.openxmlformats.org/officeDocument/2006/relationships/hyperlink" Target="https://uscode.house.gov/view.xhtml?req=(title:42%20section:4104b%20edition:prelim)%20OR%20(granuleid:USC-prelim-title42-secion4104b&amp;f=treesort&amp;edition=prelin&amp;num=0&amp;jumpTo=true" TargetMode="External"/><Relationship Id="rId30" Type="http://schemas.openxmlformats.org/officeDocument/2006/relationships/hyperlink" Target="https://www.sba.gov/document/sba-form-1502-sba-form-1502-instructions" TargetMode="External"/><Relationship Id="rId35" Type="http://schemas.openxmlformats.org/officeDocument/2006/relationships/hyperlink" Target="https://home.treasury.gov/system/files/136/Interim-Final-Rule-Additional-Eligibility-Criteria-and-Requirements-for-Certain-Pledges-of-Loans.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3EAC-7DA1-41A4-9768-A318D307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582D4-DE2A-44A6-B013-693ECEEAF64D}">
  <ds:schemaRefs>
    <ds:schemaRef ds:uri="http://schemas.microsoft.com/sharepoint/v3/contenttype/forms"/>
  </ds:schemaRefs>
</ds:datastoreItem>
</file>

<file path=customXml/itemProps3.xml><?xml version="1.0" encoding="utf-8"?>
<ds:datastoreItem xmlns:ds="http://schemas.openxmlformats.org/officeDocument/2006/customXml" ds:itemID="{933E85AE-8A68-454C-9409-4E116301B7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3BE61A-545A-4F58-86B5-95CA4857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10</Pages>
  <Words>5189</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Compliance Alliance</cp:lastModifiedBy>
  <cp:revision>17</cp:revision>
  <cp:lastPrinted>2018-09-27T16:13:00Z</cp:lastPrinted>
  <dcterms:created xsi:type="dcterms:W3CDTF">2020-04-21T15:59:00Z</dcterms:created>
  <dcterms:modified xsi:type="dcterms:W3CDTF">2020-04-22T16:42:00Z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6264400</vt:r8>
  </property>
</Properties>
</file>