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text" w:horzAnchor="margin" w:tblpY="-100"/>
        <w:tblW w:w="5019" w:type="pct"/>
        <w:tblCellMar>
          <w:top w:w="144" w:type="dxa"/>
          <w:left w:w="115" w:type="dxa"/>
          <w:bottom w:w="144" w:type="dxa"/>
          <w:right w:w="115" w:type="dxa"/>
        </w:tblCellMar>
        <w:tblLook w:val="04A0" w:firstRow="1" w:lastRow="0" w:firstColumn="1" w:lastColumn="0" w:noHBand="0" w:noVBand="1"/>
      </w:tblPr>
      <w:tblGrid>
        <w:gridCol w:w="4892"/>
        <w:gridCol w:w="4504"/>
      </w:tblGrid>
      <w:tr w:rsidR="00AF1804" w:rsidRPr="007D5234" w14:paraId="660C60B9" w14:textId="77777777" w:rsidTr="00CE099D">
        <w:trPr>
          <w:trHeight w:val="733"/>
        </w:trPr>
        <w:tc>
          <w:tcPr>
            <w:tcW w:w="2603" w:type="pct"/>
            <w:hideMark/>
          </w:tcPr>
          <w:p w14:paraId="070599A3" w14:textId="77777777" w:rsidR="00AF1804" w:rsidRPr="007D5234" w:rsidRDefault="00AF1804" w:rsidP="00E651DE">
            <w:pPr>
              <w:spacing w:before="120" w:after="120"/>
              <w:jc w:val="both"/>
              <w:rPr>
                <w:rFonts w:ascii="Arial Narrow" w:hAnsi="Arial Narrow"/>
                <w:b/>
              </w:rPr>
            </w:pPr>
            <w:r w:rsidRPr="007D5234">
              <w:rPr>
                <w:rFonts w:ascii="Arial Narrow" w:hAnsi="Arial Narrow"/>
                <w:b/>
                <w:noProof/>
                <w:color w:val="218649"/>
              </w:rPr>
              <mc:AlternateContent>
                <mc:Choice Requires="wps">
                  <w:drawing>
                    <wp:anchor distT="4294967295" distB="4294967295" distL="114300" distR="114300" simplePos="0" relativeHeight="251660288" behindDoc="0" locked="0" layoutInCell="1" allowOverlap="1" wp14:anchorId="266710F9" wp14:editId="5B02E517">
                      <wp:simplePos x="0" y="0"/>
                      <wp:positionH relativeFrom="column">
                        <wp:posOffset>-45085</wp:posOffset>
                      </wp:positionH>
                      <wp:positionV relativeFrom="paragraph">
                        <wp:posOffset>1045844</wp:posOffset>
                      </wp:positionV>
                      <wp:extent cx="5986780" cy="0"/>
                      <wp:effectExtent l="0" t="0" r="1397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A9A2A7" id="_x0000_t32" coordsize="21600,21600" o:spt="32" o:oned="t" path="m,l21600,21600e" filled="f">
                      <v:path arrowok="t" fillok="f" o:connecttype="none"/>
                      <o:lock v:ext="edit" shapetype="t"/>
                    </v:shapetype>
                    <v:shape id="Straight Arrow Connector 4" o:spid="_x0000_s1026" type="#_x0000_t32" style="position:absolute;margin-left:-3.55pt;margin-top:82.35pt;width:471.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UhcJQIAAEo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"/>
                  </w:pict>
                </mc:Fallback>
              </mc:AlternateContent>
            </w:r>
            <w:r w:rsidRPr="007D5234">
              <w:rPr>
                <w:rFonts w:ascii="Arial Narrow" w:hAnsi="Arial Narrow"/>
                <w:b/>
                <w:noProof/>
                <w:color w:val="218649"/>
              </w:rPr>
              <w:drawing>
                <wp:anchor distT="0" distB="0" distL="114300" distR="114300" simplePos="0" relativeHeight="251659264" behindDoc="0" locked="0" layoutInCell="1" allowOverlap="1" wp14:anchorId="191B8BE2" wp14:editId="50D21F7D">
                  <wp:simplePos x="0" y="0"/>
                  <wp:positionH relativeFrom="column">
                    <wp:posOffset>0</wp:posOffset>
                  </wp:positionH>
                  <wp:positionV relativeFrom="paragraph">
                    <wp:posOffset>-23495</wp:posOffset>
                  </wp:positionV>
                  <wp:extent cx="571500" cy="571500"/>
                  <wp:effectExtent l="0" t="0" r="0" b="0"/>
                  <wp:wrapNone/>
                  <wp:docPr id="2" name="Picture 2" descr="Description: CA_Logo-Sq-Color-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A_Logo-Sq-Color-X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97" w:type="pct"/>
            <w:vAlign w:val="center"/>
          </w:tcPr>
          <w:p w14:paraId="7CE3C01A" w14:textId="77777777" w:rsidR="00AF1804" w:rsidRPr="007D5234" w:rsidRDefault="00AF1804" w:rsidP="00E651DE">
            <w:pPr>
              <w:spacing w:before="120" w:after="120"/>
              <w:rPr>
                <w:rFonts w:ascii="Arial Narrow" w:hAnsi="Arial Narrow"/>
                <w:b/>
              </w:rPr>
            </w:pPr>
          </w:p>
          <w:p w14:paraId="484DA6FF" w14:textId="77777777" w:rsidR="00AF1804" w:rsidRPr="007D5234" w:rsidRDefault="00AF1804" w:rsidP="00E651DE">
            <w:pPr>
              <w:spacing w:before="120" w:after="120"/>
              <w:rPr>
                <w:rFonts w:ascii="Arial Narrow" w:hAnsi="Arial Narrow"/>
                <w:b/>
              </w:rPr>
            </w:pPr>
            <w:r w:rsidRPr="007D5234">
              <w:rPr>
                <w:rFonts w:ascii="Arial Narrow" w:hAnsi="Arial Narrow"/>
                <w:b/>
              </w:rPr>
              <w:t xml:space="preserve">       </w:t>
            </w:r>
          </w:p>
        </w:tc>
      </w:tr>
    </w:tbl>
    <w:p w14:paraId="62913562" w14:textId="768E7487" w:rsidR="00AF1804" w:rsidRPr="006D5AF4" w:rsidRDefault="007639E4" w:rsidP="00E651DE">
      <w:pPr>
        <w:spacing w:before="120" w:after="120"/>
        <w:jc w:val="both"/>
        <w:rPr>
          <w:rFonts w:ascii="Arial Narrow" w:hAnsi="Arial Narrow"/>
          <w:b/>
          <w:color w:val="218649"/>
          <w:sz w:val="28"/>
          <w:szCs w:val="28"/>
        </w:rPr>
      </w:pPr>
      <w:r w:rsidRPr="006D5AF4">
        <w:rPr>
          <w:rFonts w:ascii="Arial Narrow" w:hAnsi="Arial Narrow"/>
          <w:b/>
          <w:color w:val="218649"/>
          <w:sz w:val="28"/>
          <w:szCs w:val="28"/>
        </w:rPr>
        <w:t>Huddle: PPP Edition Top Submitted FAQs</w:t>
      </w:r>
      <w:r w:rsidRPr="006D5AF4">
        <w:rPr>
          <w:rFonts w:ascii="Arial Narrow" w:hAnsi="Arial Narrow"/>
          <w:b/>
          <w:color w:val="218649"/>
          <w:sz w:val="28"/>
          <w:szCs w:val="28"/>
        </w:rPr>
        <w:tab/>
      </w:r>
      <w:r w:rsidRPr="006D5AF4">
        <w:rPr>
          <w:rFonts w:ascii="Arial Narrow" w:hAnsi="Arial Narrow"/>
          <w:b/>
          <w:color w:val="218649"/>
          <w:sz w:val="28"/>
          <w:szCs w:val="28"/>
        </w:rPr>
        <w:tab/>
      </w:r>
      <w:r w:rsidRPr="006D5AF4">
        <w:rPr>
          <w:rFonts w:ascii="Arial Narrow" w:hAnsi="Arial Narrow"/>
          <w:b/>
          <w:color w:val="218649"/>
          <w:sz w:val="28"/>
          <w:szCs w:val="28"/>
        </w:rPr>
        <w:tab/>
        <w:t xml:space="preserve">        </w:t>
      </w:r>
      <w:r w:rsidR="00C0301D" w:rsidRPr="006D5AF4">
        <w:rPr>
          <w:rFonts w:ascii="Arial Narrow" w:hAnsi="Arial Narrow"/>
          <w:b/>
          <w:color w:val="218649"/>
          <w:sz w:val="28"/>
          <w:szCs w:val="28"/>
        </w:rPr>
        <w:t>May 6, 2020</w:t>
      </w:r>
    </w:p>
    <w:p w14:paraId="6D15EA30" w14:textId="02F74CAC" w:rsidR="007639E4" w:rsidRPr="007D5234" w:rsidRDefault="007639E4" w:rsidP="00E651DE">
      <w:pPr>
        <w:spacing w:before="120" w:after="120"/>
        <w:rPr>
          <w:rFonts w:ascii="Arial Narrow" w:hAnsi="Arial Narrow"/>
        </w:rPr>
      </w:pPr>
      <w:r w:rsidRPr="007D5234">
        <w:rPr>
          <w:rFonts w:ascii="Arial Narrow" w:hAnsi="Arial Narrow"/>
        </w:rPr>
        <w:t xml:space="preserve">*All the information contained in this FAQ is advisory in nature and is not intended to offer any legal or tax advice.  Because this is a rapidly changing environment, </w:t>
      </w:r>
      <w:proofErr w:type="gramStart"/>
      <w:r w:rsidRPr="007D5234">
        <w:rPr>
          <w:rFonts w:ascii="Arial Narrow" w:hAnsi="Arial Narrow"/>
        </w:rPr>
        <w:t>all of</w:t>
      </w:r>
      <w:proofErr w:type="gramEnd"/>
      <w:r w:rsidRPr="007D5234">
        <w:rPr>
          <w:rFonts w:ascii="Arial Narrow" w:hAnsi="Arial Narrow"/>
        </w:rPr>
        <w:t xml:space="preserve"> the information included in this Manual is accurate as of </w:t>
      </w:r>
      <w:r w:rsidR="00EC2EF7" w:rsidRPr="007D5234">
        <w:rPr>
          <w:rFonts w:ascii="Arial Narrow" w:hAnsi="Arial Narrow"/>
          <w:b/>
          <w:bCs/>
          <w:i/>
          <w:iCs/>
          <w:highlight w:val="yellow"/>
        </w:rPr>
        <w:t>May 12</w:t>
      </w:r>
      <w:r w:rsidR="00D36223" w:rsidRPr="007D5234">
        <w:rPr>
          <w:rFonts w:ascii="Arial Narrow" w:hAnsi="Arial Narrow"/>
          <w:b/>
          <w:bCs/>
          <w:i/>
          <w:iCs/>
          <w:highlight w:val="yellow"/>
        </w:rPr>
        <w:t>,</w:t>
      </w:r>
      <w:r w:rsidRPr="007D5234">
        <w:rPr>
          <w:rFonts w:ascii="Arial Narrow" w:hAnsi="Arial Narrow"/>
          <w:b/>
          <w:bCs/>
          <w:i/>
          <w:iCs/>
          <w:highlight w:val="yellow"/>
        </w:rPr>
        <w:t xml:space="preserve"> 2020</w:t>
      </w:r>
      <w:r w:rsidRPr="007D5234">
        <w:rPr>
          <w:rFonts w:ascii="Arial Narrow" w:hAnsi="Arial Narrow"/>
        </w:rPr>
        <w:t xml:space="preserve"> so keep in mind information may become inaccurate as more regulatory guidance unfolds. Any definitive guidance must be coming from the SBA, Treasury, your governing regulator, along with other governmental agencies. </w:t>
      </w:r>
      <w:bookmarkStart w:id="0" w:name="_GoBack"/>
      <w:bookmarkEnd w:id="0"/>
    </w:p>
    <w:p w14:paraId="6E4E2A30" w14:textId="12BBB73B" w:rsidR="00841C28" w:rsidRPr="007D5234" w:rsidRDefault="00841C28" w:rsidP="00E651DE">
      <w:pPr>
        <w:spacing w:before="120" w:after="120"/>
        <w:rPr>
          <w:rFonts w:ascii="Arial Narrow" w:hAnsi="Arial Narrow"/>
          <w:b/>
          <w:bCs/>
          <w:u w:val="single"/>
        </w:rPr>
      </w:pPr>
      <w:r w:rsidRPr="007D5234">
        <w:rPr>
          <w:rFonts w:ascii="Arial Narrow" w:hAnsi="Arial Narrow"/>
          <w:b/>
          <w:bCs/>
          <w:u w:val="single"/>
        </w:rPr>
        <w:t>PPP Questions:</w:t>
      </w:r>
    </w:p>
    <w:p w14:paraId="160F568A" w14:textId="2DBBC3DE" w:rsidR="0050749D" w:rsidRPr="007D5234" w:rsidRDefault="0050749D" w:rsidP="00E651DE">
      <w:pPr>
        <w:spacing w:before="120" w:after="120"/>
        <w:rPr>
          <w:rFonts w:ascii="Arial Narrow" w:hAnsi="Arial Narrow" w:cs="Segoe UI"/>
          <w:b/>
          <w:bCs/>
        </w:rPr>
      </w:pPr>
      <w:r w:rsidRPr="007D5234">
        <w:rPr>
          <w:rFonts w:ascii="Arial Narrow" w:hAnsi="Arial Narrow"/>
          <w:b/>
          <w:bCs/>
        </w:rPr>
        <w:t xml:space="preserve">Q1:  </w:t>
      </w:r>
      <w:r w:rsidR="00EC2EF7" w:rsidRPr="007D5234">
        <w:rPr>
          <w:rFonts w:ascii="Arial Narrow" w:hAnsi="Arial Narrow" w:cs="Segoe UI"/>
          <w:b/>
          <w:bCs/>
        </w:rPr>
        <w:t>Can you review again what the IRS stance is on stimulus checks to deceased recipients and what a bank’s responsibilities are?</w:t>
      </w:r>
    </w:p>
    <w:p w14:paraId="65EEB230" w14:textId="0A7E6F73" w:rsidR="00E52D9E" w:rsidRPr="007D5234" w:rsidRDefault="00E52D9E" w:rsidP="00E651DE">
      <w:pPr>
        <w:spacing w:before="120" w:after="120"/>
        <w:rPr>
          <w:rFonts w:ascii="Arial Narrow" w:hAnsi="Arial Narrow"/>
        </w:rPr>
      </w:pPr>
      <w:r w:rsidRPr="007D5234">
        <w:rPr>
          <w:rFonts w:ascii="Arial Narrow" w:hAnsi="Arial Narrow" w:cs="Segoe UI"/>
          <w:b/>
          <w:bCs/>
        </w:rPr>
        <w:t xml:space="preserve">A1:  </w:t>
      </w:r>
      <w:r w:rsidR="00EC2EF7" w:rsidRPr="007D5234">
        <w:rPr>
          <w:rFonts w:ascii="Arial Narrow" w:hAnsi="Arial Narrow" w:cs="Segoe UI"/>
        </w:rPr>
        <w:t>The IRS has recently issued guidance that they require stimulus checks made out to deceased taxpayers to be returned to the IRS.  If they were sent by mail, they should be voided and mailed back to the IRS.  If the payments were made via direct deposit</w:t>
      </w:r>
      <w:r w:rsidR="007D5234" w:rsidRPr="007D5234">
        <w:rPr>
          <w:rFonts w:ascii="Arial Narrow" w:hAnsi="Arial Narrow" w:cs="Segoe UI"/>
        </w:rPr>
        <w:t xml:space="preserve"> or if the check was cashed</w:t>
      </w:r>
      <w:r w:rsidR="00EC2EF7" w:rsidRPr="007D5234">
        <w:rPr>
          <w:rFonts w:ascii="Arial Narrow" w:hAnsi="Arial Narrow" w:cs="Segoe UI"/>
        </w:rPr>
        <w:t>, the taxpayer should write a</w:t>
      </w:r>
      <w:r w:rsidR="007D5234" w:rsidRPr="007D5234">
        <w:rPr>
          <w:rFonts w:ascii="Arial Narrow" w:hAnsi="Arial Narrow" w:cs="Segoe UI"/>
        </w:rPr>
        <w:t xml:space="preserve"> personal check or money order</w:t>
      </w:r>
      <w:r w:rsidR="00EC2EF7" w:rsidRPr="007D5234">
        <w:rPr>
          <w:rFonts w:ascii="Arial Narrow" w:hAnsi="Arial Narrow" w:cs="Segoe UI"/>
        </w:rPr>
        <w:t xml:space="preserve"> to the IRS and mail the funds. </w:t>
      </w:r>
      <w:r w:rsidR="007D5234" w:rsidRPr="007D5234">
        <w:rPr>
          <w:rFonts w:ascii="Arial Narrow" w:hAnsi="Arial Narrow" w:cs="Segoe UI"/>
        </w:rPr>
        <w:t xml:space="preserve">The IRS also clarified that other people who may have received a payment but are ineligible, including those who are incarcerated, must also return the money. Further instructions for </w:t>
      </w:r>
      <w:r w:rsidR="007D5234" w:rsidRPr="007D5234">
        <w:rPr>
          <w:rFonts w:ascii="Arial Narrow" w:hAnsi="Arial Narrow" w:cs="Segoe UI"/>
          <w:i/>
          <w:iCs/>
        </w:rPr>
        <w:t>recipients</w:t>
      </w:r>
      <w:r w:rsidR="007D5234" w:rsidRPr="007D5234">
        <w:rPr>
          <w:rFonts w:ascii="Arial Narrow" w:hAnsi="Arial Narrow" w:cs="Segoe UI"/>
        </w:rPr>
        <w:t xml:space="preserve"> was posted online by the IRS, which can be found here: </w:t>
      </w:r>
      <w:hyperlink r:id="rId12" w:anchor="more" w:history="1">
        <w:r w:rsidR="007D5234" w:rsidRPr="007D5234">
          <w:rPr>
            <w:rStyle w:val="Hyperlink"/>
            <w:rFonts w:ascii="Arial Narrow" w:hAnsi="Arial Narrow"/>
          </w:rPr>
          <w:t>https://www.irs.gov/coronavirus/economic-impact-payment-information-center#more</w:t>
        </w:r>
      </w:hyperlink>
      <w:r w:rsidR="007D5234" w:rsidRPr="007D5234">
        <w:rPr>
          <w:rFonts w:ascii="Arial Narrow" w:hAnsi="Arial Narrow"/>
        </w:rPr>
        <w:t>.</w:t>
      </w:r>
    </w:p>
    <w:p w14:paraId="7B3AD99B" w14:textId="6DEC848F" w:rsidR="007D5234" w:rsidRPr="007D5234" w:rsidRDefault="007D5234" w:rsidP="00E651DE">
      <w:pPr>
        <w:spacing w:before="120" w:after="120"/>
        <w:rPr>
          <w:rFonts w:ascii="Arial Narrow" w:hAnsi="Arial Narrow"/>
        </w:rPr>
      </w:pPr>
      <w:r w:rsidRPr="007D5234">
        <w:rPr>
          <w:rFonts w:ascii="Arial Narrow" w:hAnsi="Arial Narrow"/>
        </w:rPr>
        <w:t xml:space="preserve">However, this information is not directed to financial institutions but rather, solely to recipients. A financial institutions roles and responsibilities are outlined in the Treasury’s Economic Impact Payments Operational FAQs for Financial Institutions form, updated May 1, 2020, found here: </w:t>
      </w:r>
      <w:hyperlink r:id="rId13" w:history="1">
        <w:r w:rsidRPr="007D5234">
          <w:rPr>
            <w:rStyle w:val="Hyperlink"/>
            <w:rFonts w:ascii="Arial Narrow" w:hAnsi="Arial Narrow"/>
          </w:rPr>
          <w:t>https://www.fiscal.treasury.gov/files/news/eip-operational-faqs-for-financial-industry.pdf</w:t>
        </w:r>
      </w:hyperlink>
      <w:r w:rsidRPr="007D5234">
        <w:rPr>
          <w:rFonts w:ascii="Arial Narrow" w:hAnsi="Arial Narrow"/>
        </w:rPr>
        <w:t xml:space="preserve">.  </w:t>
      </w:r>
    </w:p>
    <w:p w14:paraId="25A642FC" w14:textId="741289B9" w:rsidR="007D5234" w:rsidRPr="007D5234" w:rsidRDefault="007D5234" w:rsidP="00E651DE">
      <w:pPr>
        <w:spacing w:before="120" w:after="120"/>
        <w:rPr>
          <w:rFonts w:ascii="Arial Narrow" w:hAnsi="Arial Narrow"/>
        </w:rPr>
      </w:pPr>
      <w:r w:rsidRPr="007D5234">
        <w:rPr>
          <w:rFonts w:ascii="Arial Narrow" w:hAnsi="Arial Narrow"/>
        </w:rPr>
        <w:t>Question 2.6 still states as follows:</w:t>
      </w:r>
    </w:p>
    <w:p w14:paraId="55A2FD20" w14:textId="77777777" w:rsidR="007D5234" w:rsidRPr="007D5234" w:rsidRDefault="007D5234" w:rsidP="007D5234">
      <w:pPr>
        <w:spacing w:before="120" w:after="120"/>
        <w:ind w:left="720"/>
        <w:rPr>
          <w:rFonts w:ascii="Arial Narrow" w:hAnsi="Arial Narrow"/>
        </w:rPr>
      </w:pPr>
      <w:r w:rsidRPr="007D5234">
        <w:rPr>
          <w:rFonts w:ascii="Arial Narrow" w:hAnsi="Arial Narrow"/>
        </w:rPr>
        <w:t xml:space="preserve">2.6. How should RDFIs treat payments to deceased payees? </w:t>
      </w:r>
    </w:p>
    <w:p w14:paraId="063A63E3" w14:textId="2801C104" w:rsidR="007D5234" w:rsidRDefault="007D5234" w:rsidP="007D5234">
      <w:pPr>
        <w:spacing w:before="120" w:after="120"/>
        <w:ind w:left="720"/>
        <w:rPr>
          <w:rFonts w:ascii="Arial Narrow" w:hAnsi="Arial Narrow"/>
        </w:rPr>
      </w:pPr>
      <w:r w:rsidRPr="007D5234">
        <w:rPr>
          <w:rFonts w:ascii="Arial Narrow" w:hAnsi="Arial Narrow"/>
        </w:rPr>
        <w:t xml:space="preserve">Unless the account is closed, you should generally post the funds in accordance with the payment instructions. ACH reclamation procedures apply only to benefit payments and therefore do not apply to economic impact payments. Last updated on May 1, 2020 3 For more information on how recipients can return economic impact payments to the IRS, please visit </w:t>
      </w:r>
      <w:hyperlink r:id="rId14" w:history="1">
        <w:r w:rsidRPr="007D5234">
          <w:rPr>
            <w:rStyle w:val="Hyperlink"/>
            <w:rFonts w:ascii="Arial Narrow" w:hAnsi="Arial Narrow"/>
          </w:rPr>
          <w:t>IRS.gov/coronavirus</w:t>
        </w:r>
      </w:hyperlink>
      <w:r w:rsidRPr="007D5234">
        <w:rPr>
          <w:rFonts w:ascii="Arial Narrow" w:hAnsi="Arial Narrow"/>
        </w:rPr>
        <w:t>.</w:t>
      </w:r>
    </w:p>
    <w:p w14:paraId="665674CB" w14:textId="4CE717BB" w:rsidR="007D5234" w:rsidRPr="007D5234" w:rsidRDefault="007D5234" w:rsidP="007D5234">
      <w:pPr>
        <w:spacing w:before="120" w:after="120"/>
        <w:rPr>
          <w:rFonts w:ascii="Arial Narrow" w:hAnsi="Arial Narrow" w:cs="Segoe UI"/>
        </w:rPr>
      </w:pPr>
      <w:r>
        <w:rPr>
          <w:rFonts w:ascii="Arial Narrow" w:hAnsi="Arial Narrow"/>
        </w:rPr>
        <w:t xml:space="preserve">The IRS link above takes them to the consumer-facing page for economic impact payments. Nothing has been specifically addressed or updated for financial institutions to change the practices outlined in the FAQ. </w:t>
      </w:r>
    </w:p>
    <w:p w14:paraId="3AA8B009" w14:textId="7B40765A" w:rsidR="0050749D" w:rsidRPr="007D5234" w:rsidRDefault="0050749D" w:rsidP="00E651DE">
      <w:pPr>
        <w:spacing w:before="120" w:after="120"/>
        <w:rPr>
          <w:rFonts w:ascii="Arial Narrow" w:hAnsi="Arial Narrow" w:cs="Segoe UI"/>
          <w:b/>
          <w:bCs/>
        </w:rPr>
      </w:pPr>
      <w:r w:rsidRPr="007D5234">
        <w:rPr>
          <w:rFonts w:ascii="Arial" w:hAnsi="Arial" w:cs="Arial"/>
          <w:b/>
          <w:bCs/>
        </w:rPr>
        <w:t>​</w:t>
      </w:r>
      <w:r w:rsidRPr="007D5234">
        <w:rPr>
          <w:rFonts w:ascii="Arial Narrow" w:hAnsi="Arial Narrow" w:cs="Segoe UI"/>
          <w:b/>
          <w:bCs/>
        </w:rPr>
        <w:t xml:space="preserve">Q2: Can </w:t>
      </w:r>
      <w:r w:rsidR="00D86716" w:rsidRPr="007D5234">
        <w:rPr>
          <w:rFonts w:ascii="Arial Narrow" w:hAnsi="Arial Narrow" w:cs="Segoe UI"/>
          <w:b/>
          <w:bCs/>
        </w:rPr>
        <w:t>a non-U.S. citizen</w:t>
      </w:r>
      <w:r w:rsidRPr="007D5234">
        <w:rPr>
          <w:rFonts w:ascii="Arial Narrow" w:hAnsi="Arial Narrow" w:cs="Segoe UI"/>
          <w:b/>
          <w:bCs/>
        </w:rPr>
        <w:t xml:space="preserve"> who </w:t>
      </w:r>
      <w:r w:rsidR="00D86716" w:rsidRPr="007D5234">
        <w:rPr>
          <w:rFonts w:ascii="Arial Narrow" w:hAnsi="Arial Narrow" w:cs="Segoe UI"/>
          <w:b/>
          <w:bCs/>
        </w:rPr>
        <w:t>has a</w:t>
      </w:r>
      <w:r w:rsidRPr="007D5234">
        <w:rPr>
          <w:rFonts w:ascii="Arial Narrow" w:hAnsi="Arial Narrow" w:cs="Segoe UI"/>
          <w:b/>
          <w:bCs/>
        </w:rPr>
        <w:t xml:space="preserve"> local business apply for PPP loans?</w:t>
      </w:r>
    </w:p>
    <w:p w14:paraId="63479054" w14:textId="5E74515D" w:rsidR="00D86716" w:rsidRPr="007D5234" w:rsidRDefault="00E52D9E" w:rsidP="00E651DE">
      <w:pPr>
        <w:spacing w:before="120" w:after="120"/>
        <w:rPr>
          <w:rFonts w:ascii="Arial Narrow" w:hAnsi="Arial Narrow" w:cs="Segoe UI"/>
        </w:rPr>
      </w:pPr>
      <w:r w:rsidRPr="007D5234">
        <w:rPr>
          <w:rFonts w:ascii="Arial Narrow" w:hAnsi="Arial Narrow" w:cs="Segoe UI"/>
          <w:b/>
          <w:bCs/>
        </w:rPr>
        <w:t xml:space="preserve">A2:  </w:t>
      </w:r>
      <w:r w:rsidRPr="007D5234">
        <w:rPr>
          <w:rFonts w:ascii="Arial Narrow" w:hAnsi="Arial Narrow" w:cs="Segoe UI"/>
        </w:rPr>
        <w:t xml:space="preserve">At this time, </w:t>
      </w:r>
      <w:r w:rsidR="00D86716" w:rsidRPr="007D5234">
        <w:rPr>
          <w:rFonts w:ascii="Arial Narrow" w:hAnsi="Arial Narrow" w:cs="Segoe UI"/>
        </w:rPr>
        <w:t xml:space="preserve">there does not appear to be a general prohibition on a non-U.S. citizen applying and qualifying for a PPP loan—the condition of payroll costs and affiliation do still need to be considered when it comes to loan eligibility.  One of the conditions for payroll costs is that “any compensation of an employee whose principal place of residence is outside” of the United States must be excluded.  For affiliation, applicants in the PPP are generally subject to the affiliation rule under 13 CFR Section 121.301, which provide that in determining a concern’s size (and therefore loan </w:t>
      </w:r>
      <w:r w:rsidR="00D86716" w:rsidRPr="007D5234">
        <w:rPr>
          <w:rFonts w:ascii="Arial Narrow" w:hAnsi="Arial Narrow" w:cs="Segoe UI"/>
        </w:rPr>
        <w:lastRenderedPageBreak/>
        <w:t xml:space="preserve">eligibility), the SBA counts the employees of both the concern whose size is at issue and all of its domestic and foreign affiliates. </w:t>
      </w:r>
    </w:p>
    <w:p w14:paraId="74FC17C2" w14:textId="4E767AC9" w:rsidR="00D86716" w:rsidRPr="007D5234" w:rsidRDefault="00D86716" w:rsidP="00E651DE">
      <w:pPr>
        <w:spacing w:before="120" w:after="120"/>
        <w:rPr>
          <w:rFonts w:ascii="Arial Narrow" w:hAnsi="Arial Narrow" w:cs="Segoe UI"/>
        </w:rPr>
      </w:pPr>
      <w:r w:rsidRPr="007D5234">
        <w:rPr>
          <w:rFonts w:ascii="Arial Narrow" w:hAnsi="Arial Narrow" w:cs="Segoe UI"/>
        </w:rPr>
        <w:t xml:space="preserve">See generally: </w:t>
      </w:r>
    </w:p>
    <w:p w14:paraId="72C98085" w14:textId="26299346" w:rsidR="00D86716" w:rsidRPr="007D5234" w:rsidRDefault="00D86716" w:rsidP="00E027B1">
      <w:pPr>
        <w:spacing w:before="120" w:after="120" w:line="240" w:lineRule="auto"/>
        <w:ind w:left="720"/>
        <w:rPr>
          <w:rFonts w:ascii="Arial Narrow" w:hAnsi="Arial Narrow" w:cs="Segoe UI"/>
          <w:color w:val="2F3941"/>
        </w:rPr>
      </w:pPr>
      <w:r w:rsidRPr="007D5234">
        <w:rPr>
          <w:rFonts w:ascii="Arial Narrow" w:hAnsi="Arial Narrow" w:cs="Segoe UI"/>
          <w:color w:val="2F3941"/>
          <w:shd w:val="clear" w:color="auto" w:fill="FFFFFF"/>
        </w:rPr>
        <w:t>(viii) the term ‘payroll costs’—</w:t>
      </w:r>
    </w:p>
    <w:p w14:paraId="79F3C14A" w14:textId="77777777" w:rsidR="00D86716" w:rsidRPr="007D5234" w:rsidRDefault="00D86716" w:rsidP="00E027B1">
      <w:pPr>
        <w:spacing w:before="120" w:after="120" w:line="240" w:lineRule="auto"/>
        <w:ind w:left="720"/>
        <w:rPr>
          <w:rFonts w:ascii="Arial Narrow" w:hAnsi="Arial Narrow" w:cs="Segoe UI"/>
          <w:color w:val="2F3941"/>
        </w:rPr>
      </w:pPr>
      <w:r w:rsidRPr="007D5234">
        <w:rPr>
          <w:rFonts w:ascii="Arial Narrow" w:hAnsi="Arial Narrow" w:cs="Segoe UI"/>
          <w:color w:val="2F3941"/>
          <w:shd w:val="clear" w:color="auto" w:fill="FFFFFF"/>
        </w:rPr>
        <w:t>…</w:t>
      </w:r>
    </w:p>
    <w:p w14:paraId="11CA4C9A" w14:textId="2403B248" w:rsidR="00D86716" w:rsidRPr="007D5234" w:rsidRDefault="00D86716" w:rsidP="00E027B1">
      <w:pPr>
        <w:spacing w:before="120" w:after="120" w:line="240" w:lineRule="auto"/>
        <w:ind w:left="720"/>
        <w:rPr>
          <w:rFonts w:ascii="Arial Narrow" w:hAnsi="Arial Narrow" w:cs="Segoe UI"/>
          <w:color w:val="2F3941"/>
        </w:rPr>
      </w:pPr>
      <w:r w:rsidRPr="007D5234">
        <w:rPr>
          <w:rFonts w:ascii="Arial Narrow" w:hAnsi="Arial Narrow" w:cs="Segoe UI"/>
          <w:color w:val="2F3941"/>
          <w:shd w:val="clear" w:color="auto" w:fill="FFFFFF"/>
        </w:rPr>
        <w:t>(II) shall not include—</w:t>
      </w:r>
    </w:p>
    <w:p w14:paraId="64C64A9F" w14:textId="77777777" w:rsidR="00D86716" w:rsidRPr="007D5234" w:rsidRDefault="00D86716" w:rsidP="00E027B1">
      <w:pPr>
        <w:spacing w:before="120" w:after="120" w:line="240" w:lineRule="auto"/>
        <w:ind w:firstLine="720"/>
        <w:rPr>
          <w:rFonts w:ascii="Arial Narrow" w:hAnsi="Arial Narrow" w:cs="Segoe UI"/>
          <w:color w:val="2F3941"/>
        </w:rPr>
      </w:pPr>
      <w:r w:rsidRPr="007D5234">
        <w:rPr>
          <w:rFonts w:ascii="Arial Narrow" w:hAnsi="Arial Narrow" w:cs="Segoe UI"/>
          <w:color w:val="2F3941"/>
          <w:shd w:val="clear" w:color="auto" w:fill="FFFFFF"/>
        </w:rPr>
        <w:t>…</w:t>
      </w:r>
    </w:p>
    <w:p w14:paraId="32515546" w14:textId="1828D3E7" w:rsidR="00D86716" w:rsidRPr="007D5234" w:rsidRDefault="00D86716" w:rsidP="00E651DE">
      <w:pPr>
        <w:spacing w:before="120" w:after="120"/>
        <w:ind w:left="720"/>
        <w:rPr>
          <w:rFonts w:ascii="Arial Narrow" w:hAnsi="Arial Narrow"/>
        </w:rPr>
      </w:pPr>
      <w:r w:rsidRPr="007D5234">
        <w:rPr>
          <w:rFonts w:ascii="Arial Narrow" w:hAnsi="Arial Narrow" w:cs="Segoe UI"/>
          <w:color w:val="2F3941"/>
          <w:shd w:val="clear" w:color="auto" w:fill="FFFFFF"/>
        </w:rPr>
        <w:t>(cc) any compensation of an employee whose principal place of residence is outside of the United States;</w:t>
      </w:r>
      <w:r w:rsidRPr="007D5234">
        <w:rPr>
          <w:rFonts w:ascii="Arial Narrow" w:hAnsi="Arial Narrow" w:cs="Segoe UI"/>
          <w:color w:val="2F3941"/>
        </w:rPr>
        <w:br/>
      </w:r>
      <w:r w:rsidRPr="007D5234">
        <w:rPr>
          <w:rFonts w:ascii="Arial Narrow" w:hAnsi="Arial Narrow"/>
        </w:rPr>
        <w:t xml:space="preserve">Source: </w:t>
      </w:r>
      <w:hyperlink r:id="rId15" w:history="1">
        <w:r w:rsidRPr="007D5234">
          <w:rPr>
            <w:rStyle w:val="Hyperlink"/>
            <w:rFonts w:ascii="Arial Narrow" w:hAnsi="Arial Narrow" w:cs="Segoe UI"/>
            <w:shd w:val="clear" w:color="auto" w:fill="FFFFFF"/>
          </w:rPr>
          <w:t>https://www.congress.gov/bill/116th-congress/house-bill/748/text#HE4E7B1F84B384B0D92459C0BEB5AA857</w:t>
        </w:r>
      </w:hyperlink>
    </w:p>
    <w:p w14:paraId="54B42518" w14:textId="77777777" w:rsidR="00D86716" w:rsidRPr="007D5234" w:rsidRDefault="00D86716" w:rsidP="00E651DE">
      <w:pPr>
        <w:spacing w:before="120" w:after="120"/>
        <w:ind w:left="720"/>
        <w:rPr>
          <w:rFonts w:ascii="Arial Narrow" w:hAnsi="Arial Narrow"/>
        </w:rPr>
      </w:pPr>
      <w:r w:rsidRPr="007D5234">
        <w:rPr>
          <w:rFonts w:ascii="Arial Narrow" w:hAnsi="Arial Narrow"/>
        </w:rPr>
        <w:t xml:space="preserve">44. Question: How do SBA’s affiliation rules at 13 C.F.R. 121.301(f) apply </w:t>
      </w:r>
      <w:proofErr w:type="gramStart"/>
      <w:r w:rsidRPr="007D5234">
        <w:rPr>
          <w:rFonts w:ascii="Arial Narrow" w:hAnsi="Arial Narrow"/>
        </w:rPr>
        <w:t>with regard to</w:t>
      </w:r>
      <w:proofErr w:type="gramEnd"/>
      <w:r w:rsidRPr="007D5234">
        <w:rPr>
          <w:rFonts w:ascii="Arial Narrow" w:hAnsi="Arial Narrow"/>
        </w:rPr>
        <w:t xml:space="preserve"> counting the employees of foreign and U.S. affiliates? </w:t>
      </w:r>
    </w:p>
    <w:p w14:paraId="663B0545" w14:textId="1DFFFEFC" w:rsidR="00D86716" w:rsidRPr="007D5234" w:rsidRDefault="00D86716" w:rsidP="00E651DE">
      <w:pPr>
        <w:spacing w:before="120" w:after="120"/>
        <w:ind w:left="720"/>
        <w:rPr>
          <w:rFonts w:ascii="Arial Narrow" w:hAnsi="Arial Narrow"/>
        </w:rPr>
      </w:pPr>
      <w:r w:rsidRPr="007D5234">
        <w:rPr>
          <w:rFonts w:ascii="Arial Narrow" w:hAnsi="Arial Narrow"/>
        </w:rPr>
        <w:t xml:space="preserve">Answer: For purposes of the PPP’s 500 or fewer employee size standard, an applicant must count </w:t>
      </w:r>
      <w:proofErr w:type="gramStart"/>
      <w:r w:rsidRPr="007D5234">
        <w:rPr>
          <w:rFonts w:ascii="Arial Narrow" w:hAnsi="Arial Narrow"/>
        </w:rPr>
        <w:t>all of</w:t>
      </w:r>
      <w:proofErr w:type="gramEnd"/>
      <w:r w:rsidRPr="007D5234">
        <w:rPr>
          <w:rFonts w:ascii="Arial Narrow" w:hAnsi="Arial Narrow"/>
        </w:rPr>
        <w:t xml:space="preserve"> its employees and the employees of its U.S and foreign affiliates, absent a waiver of or an exception to the affiliation rules. 13 C.F.R. 121.301(f)(6). Business concerns seeking to qualify as a “small business concern” under section 3 of the Small Business Act (15 U.S.C. 632) </w:t>
      </w:r>
      <w:proofErr w:type="gramStart"/>
      <w:r w:rsidRPr="007D5234">
        <w:rPr>
          <w:rFonts w:ascii="Arial Narrow" w:hAnsi="Arial Narrow"/>
        </w:rPr>
        <w:t>on the basis of</w:t>
      </w:r>
      <w:proofErr w:type="gramEnd"/>
      <w:r w:rsidRPr="007D5234">
        <w:rPr>
          <w:rFonts w:ascii="Arial Narrow" w:hAnsi="Arial Narrow"/>
        </w:rPr>
        <w:t xml:space="preserve"> the employee-based size standard must do the same.</w:t>
      </w:r>
    </w:p>
    <w:p w14:paraId="00E5C74B" w14:textId="28A059E0" w:rsidR="00D86716" w:rsidRPr="007D5234" w:rsidRDefault="00D86716" w:rsidP="00E651DE">
      <w:pPr>
        <w:spacing w:before="120" w:after="120"/>
        <w:ind w:left="720"/>
        <w:rPr>
          <w:rFonts w:ascii="Arial Narrow" w:hAnsi="Arial Narrow" w:cs="Segoe UI"/>
        </w:rPr>
      </w:pPr>
      <w:r w:rsidRPr="007D5234">
        <w:rPr>
          <w:rFonts w:ascii="Arial Narrow" w:hAnsi="Arial Narrow"/>
        </w:rPr>
        <w:t xml:space="preserve">Source:  </w:t>
      </w:r>
      <w:hyperlink r:id="rId16" w:history="1">
        <w:r w:rsidRPr="007D5234">
          <w:rPr>
            <w:rStyle w:val="Hyperlink"/>
            <w:rFonts w:ascii="Arial Narrow" w:hAnsi="Arial Narrow"/>
          </w:rPr>
          <w:t>https://home.treasury.gov/system/files/136/Paycheck-Protection-Program-Frequently-Asked-Questions.pdf</w:t>
        </w:r>
      </w:hyperlink>
    </w:p>
    <w:p w14:paraId="027FDF23" w14:textId="00D5CCD7" w:rsidR="002415C7" w:rsidRPr="007D5234" w:rsidRDefault="002415C7" w:rsidP="00E651DE">
      <w:pPr>
        <w:spacing w:before="120" w:after="120"/>
        <w:rPr>
          <w:rFonts w:ascii="Arial Narrow" w:hAnsi="Arial Narrow" w:cs="Segoe UI"/>
          <w:b/>
          <w:bCs/>
        </w:rPr>
      </w:pPr>
      <w:r w:rsidRPr="007D5234">
        <w:rPr>
          <w:rFonts w:ascii="Arial" w:hAnsi="Arial" w:cs="Arial"/>
          <w:b/>
          <w:bCs/>
        </w:rPr>
        <w:t>​</w:t>
      </w:r>
      <w:r w:rsidRPr="007D5234">
        <w:rPr>
          <w:rFonts w:ascii="Arial Narrow" w:hAnsi="Arial Narrow" w:cs="Segoe UI"/>
          <w:b/>
          <w:bCs/>
        </w:rPr>
        <w:t>Q3:</w:t>
      </w:r>
      <w:r w:rsidR="00D86716" w:rsidRPr="007D5234">
        <w:rPr>
          <w:rFonts w:ascii="Arial Narrow" w:hAnsi="Arial Narrow" w:cs="Segoe UI"/>
          <w:b/>
          <w:bCs/>
        </w:rPr>
        <w:t xml:space="preserve">  When inputting</w:t>
      </w:r>
      <w:r w:rsidRPr="007D5234">
        <w:rPr>
          <w:rFonts w:ascii="Arial Narrow" w:hAnsi="Arial Narrow" w:cs="Segoe UI"/>
          <w:b/>
          <w:bCs/>
        </w:rPr>
        <w:t xml:space="preserve"> CRA loans, will </w:t>
      </w:r>
      <w:r w:rsidR="00E651DE" w:rsidRPr="007D5234">
        <w:rPr>
          <w:rFonts w:ascii="Arial Narrow" w:hAnsi="Arial Narrow" w:cs="Segoe UI"/>
          <w:b/>
          <w:bCs/>
        </w:rPr>
        <w:t xml:space="preserve">Loan Type </w:t>
      </w:r>
      <w:r w:rsidR="00D86716" w:rsidRPr="007D5234">
        <w:rPr>
          <w:rFonts w:ascii="Arial Narrow" w:hAnsi="Arial Narrow" w:cs="Segoe UI"/>
          <w:b/>
          <w:bCs/>
        </w:rPr>
        <w:t>O</w:t>
      </w:r>
      <w:r w:rsidRPr="007D5234">
        <w:rPr>
          <w:rFonts w:ascii="Arial Narrow" w:hAnsi="Arial Narrow" w:cs="Segoe UI"/>
          <w:b/>
          <w:bCs/>
        </w:rPr>
        <w:t>ption 3 be used to track the PPP loans?</w:t>
      </w:r>
    </w:p>
    <w:p w14:paraId="0C68D25F" w14:textId="7E80B9BC" w:rsidR="00D86716" w:rsidRPr="007D5234" w:rsidRDefault="00D86716" w:rsidP="00E651DE">
      <w:pPr>
        <w:spacing w:before="120" w:after="120"/>
        <w:rPr>
          <w:rFonts w:ascii="Arial Narrow" w:hAnsi="Arial Narrow" w:cs="Segoe UI"/>
        </w:rPr>
      </w:pPr>
      <w:r w:rsidRPr="007D5234">
        <w:rPr>
          <w:rFonts w:ascii="Arial Narrow" w:hAnsi="Arial Narrow" w:cs="Segoe UI"/>
          <w:b/>
          <w:bCs/>
        </w:rPr>
        <w:t xml:space="preserve">A3:  </w:t>
      </w:r>
      <w:r w:rsidRPr="007D5234">
        <w:rPr>
          <w:rFonts w:ascii="Arial Narrow" w:hAnsi="Arial Narrow" w:cs="Segoe UI"/>
        </w:rPr>
        <w:t xml:space="preserve">There has not yet been specific guidance when it comes to CRA reporting and PPP loans </w:t>
      </w:r>
      <w:proofErr w:type="gramStart"/>
      <w:r w:rsidRPr="007D5234">
        <w:rPr>
          <w:rFonts w:ascii="Arial Narrow" w:hAnsi="Arial Narrow" w:cs="Segoe UI"/>
        </w:rPr>
        <w:t>at this time</w:t>
      </w:r>
      <w:proofErr w:type="gramEnd"/>
      <w:r w:rsidRPr="007D5234">
        <w:rPr>
          <w:rFonts w:ascii="Arial Narrow" w:hAnsi="Arial Narrow" w:cs="Segoe UI"/>
        </w:rPr>
        <w:t xml:space="preserve">. Until further guidance, it would be assumed to report income as unknown for CRA as this was not asked for specifically. </w:t>
      </w:r>
    </w:p>
    <w:p w14:paraId="2B626579" w14:textId="25200197" w:rsidR="00E651DE" w:rsidRPr="007D5234" w:rsidRDefault="00E651DE" w:rsidP="00E651DE">
      <w:pPr>
        <w:spacing w:before="120" w:after="120"/>
        <w:rPr>
          <w:rFonts w:ascii="Arial Narrow" w:hAnsi="Arial Narrow" w:cs="Segoe UI"/>
        </w:rPr>
      </w:pPr>
      <w:r w:rsidRPr="007D5234">
        <w:rPr>
          <w:rFonts w:ascii="Arial Narrow" w:hAnsi="Arial Narrow" w:cs="Segoe UI"/>
        </w:rPr>
        <w:t>The FDIC for general CRA concerns states the following guidance:</w:t>
      </w:r>
    </w:p>
    <w:p w14:paraId="42A0A5E3" w14:textId="1A52076D" w:rsidR="00E651DE" w:rsidRPr="007D5234" w:rsidRDefault="00E651DE" w:rsidP="00E651DE">
      <w:pPr>
        <w:spacing w:before="120" w:after="120"/>
        <w:ind w:left="720"/>
        <w:rPr>
          <w:rFonts w:ascii="Arial Narrow" w:eastAsia="Times New Roman" w:hAnsi="Arial Narrow"/>
        </w:rPr>
      </w:pPr>
      <w:r w:rsidRPr="007D5234">
        <w:rPr>
          <w:rFonts w:ascii="Arial Narrow" w:eastAsia="Times New Roman" w:hAnsi="Arial Narrow" w:cs="Arial"/>
          <w:i/>
          <w:iCs/>
          <w:color w:val="333333"/>
          <w:shd w:val="clear" w:color="auto" w:fill="FFFFFF"/>
        </w:rPr>
        <w:t xml:space="preserve">5. </w:t>
      </w:r>
      <w:r w:rsidRPr="007D5234">
        <w:rPr>
          <w:rFonts w:ascii="Arial Narrow" w:eastAsia="Times New Roman" w:hAnsi="Arial Narrow" w:cs="Arial"/>
          <w:i/>
          <w:iCs/>
          <w:color w:val="333333"/>
          <w:shd w:val="clear" w:color="auto" w:fill="FFFFFF"/>
        </w:rPr>
        <w:t>If an institution that is not exempt from data collection and reporting does not request or Consider revenue information to make the credit decision regarding a small business or small farm loan, must the institution collect revenue information in connection with that loan?</w:t>
      </w:r>
    </w:p>
    <w:p w14:paraId="2808CF61" w14:textId="57F39C77" w:rsidR="00E651DE" w:rsidRPr="007D5234" w:rsidRDefault="00E651DE" w:rsidP="00E651DE">
      <w:pPr>
        <w:shd w:val="clear" w:color="auto" w:fill="FFFFFF"/>
        <w:spacing w:before="120" w:after="120"/>
        <w:ind w:left="720"/>
        <w:rPr>
          <w:rFonts w:ascii="Arial Narrow" w:eastAsia="Times New Roman" w:hAnsi="Arial Narrow" w:cs="Arial"/>
          <w:color w:val="333333"/>
        </w:rPr>
      </w:pPr>
      <w:r w:rsidRPr="00E651DE">
        <w:rPr>
          <w:rFonts w:ascii="Arial Narrow" w:eastAsia="Times New Roman" w:hAnsi="Arial Narrow" w:cs="Arial"/>
          <w:color w:val="333333"/>
        </w:rPr>
        <w:t xml:space="preserve">No, </w:t>
      </w:r>
      <w:proofErr w:type="gramStart"/>
      <w:r w:rsidRPr="00E651DE">
        <w:rPr>
          <w:rFonts w:ascii="Arial Narrow" w:eastAsia="Times New Roman" w:hAnsi="Arial Narrow" w:cs="Arial"/>
          <w:color w:val="333333"/>
        </w:rPr>
        <w:t>In</w:t>
      </w:r>
      <w:proofErr w:type="gramEnd"/>
      <w:r w:rsidRPr="00E651DE">
        <w:rPr>
          <w:rFonts w:ascii="Arial Narrow" w:eastAsia="Times New Roman" w:hAnsi="Arial Narrow" w:cs="Arial"/>
          <w:color w:val="333333"/>
        </w:rPr>
        <w:t xml:space="preserve"> those instances the institution should enter " 3 " on the individual loan portion of the data collection software, or on an internally developed system, indicating "revenues not known."</w:t>
      </w:r>
    </w:p>
    <w:p w14:paraId="57E9BB26" w14:textId="1A2C2D3A" w:rsidR="00E651DE" w:rsidRPr="007D5234" w:rsidRDefault="00E651DE" w:rsidP="00E651DE">
      <w:pPr>
        <w:shd w:val="clear" w:color="auto" w:fill="FFFFFF"/>
        <w:spacing w:before="120" w:after="120"/>
        <w:ind w:left="720"/>
        <w:rPr>
          <w:rFonts w:ascii="Arial Narrow" w:eastAsia="Times New Roman" w:hAnsi="Arial Narrow" w:cs="Arial"/>
          <w:color w:val="333333"/>
        </w:rPr>
      </w:pPr>
      <w:r w:rsidRPr="007D5234">
        <w:rPr>
          <w:rFonts w:ascii="Arial Narrow" w:eastAsia="Times New Roman" w:hAnsi="Arial Narrow" w:cs="Arial"/>
          <w:color w:val="333333"/>
        </w:rPr>
        <w:t xml:space="preserve">Source: </w:t>
      </w:r>
      <w:hyperlink r:id="rId17" w:history="1">
        <w:r w:rsidRPr="007D5234">
          <w:rPr>
            <w:rStyle w:val="Hyperlink"/>
            <w:rFonts w:ascii="Arial Narrow" w:hAnsi="Arial Narrow"/>
          </w:rPr>
          <w:t>https://www.fdic.gov/news/news/inactivefinancial/1996/fil9604b.html</w:t>
        </w:r>
      </w:hyperlink>
    </w:p>
    <w:p w14:paraId="24882C9B" w14:textId="2BCFC2F1" w:rsidR="0050749D" w:rsidRPr="007D5234" w:rsidRDefault="0050749D" w:rsidP="00E651DE">
      <w:pPr>
        <w:spacing w:before="120" w:after="120"/>
        <w:rPr>
          <w:rFonts w:ascii="Arial Narrow" w:hAnsi="Arial Narrow" w:cs="Segoe UI"/>
          <w:b/>
          <w:bCs/>
        </w:rPr>
      </w:pPr>
      <w:r w:rsidRPr="007D5234">
        <w:rPr>
          <w:rFonts w:ascii="Arial" w:hAnsi="Arial" w:cs="Arial"/>
          <w:b/>
          <w:bCs/>
        </w:rPr>
        <w:t>​</w:t>
      </w:r>
      <w:r w:rsidRPr="007D5234">
        <w:rPr>
          <w:rFonts w:ascii="Arial Narrow" w:hAnsi="Arial Narrow" w:cs="Calibri"/>
          <w:b/>
          <w:bCs/>
        </w:rPr>
        <w:t>Q</w:t>
      </w:r>
      <w:r w:rsidR="002415C7" w:rsidRPr="007D5234">
        <w:rPr>
          <w:rFonts w:ascii="Arial Narrow" w:hAnsi="Arial Narrow" w:cs="Calibri"/>
          <w:b/>
          <w:bCs/>
        </w:rPr>
        <w:t>4</w:t>
      </w:r>
      <w:r w:rsidRPr="007D5234">
        <w:rPr>
          <w:rFonts w:ascii="Arial Narrow" w:hAnsi="Arial Narrow" w:cs="Calibri"/>
          <w:b/>
          <w:bCs/>
        </w:rPr>
        <w:t xml:space="preserve">: </w:t>
      </w:r>
      <w:r w:rsidRPr="007D5234">
        <w:rPr>
          <w:rFonts w:ascii="Arial Narrow" w:hAnsi="Arial Narrow" w:cs="Segoe UI"/>
          <w:b/>
          <w:bCs/>
        </w:rPr>
        <w:t xml:space="preserve"> Should banks waive monthly deposit account service charges? </w:t>
      </w:r>
    </w:p>
    <w:p w14:paraId="5C766C38" w14:textId="597E4F14" w:rsidR="00E651DE" w:rsidRPr="007D5234" w:rsidRDefault="00E651DE" w:rsidP="00E651DE">
      <w:pPr>
        <w:spacing w:before="120" w:after="120"/>
        <w:rPr>
          <w:rFonts w:ascii="Arial Narrow" w:hAnsi="Arial Narrow" w:cs="Segoe UI"/>
        </w:rPr>
      </w:pPr>
      <w:r w:rsidRPr="007D5234">
        <w:rPr>
          <w:rFonts w:ascii="Arial Narrow" w:hAnsi="Arial Narrow" w:cs="Segoe UI"/>
          <w:b/>
          <w:bCs/>
        </w:rPr>
        <w:t xml:space="preserve">A4:  </w:t>
      </w:r>
      <w:r w:rsidRPr="007D5234">
        <w:rPr>
          <w:rFonts w:ascii="Arial Narrow" w:hAnsi="Arial Narrow" w:cs="Segoe UI"/>
        </w:rPr>
        <w:t xml:space="preserve">This is a grey area that the bank will need to make a risk-based decision on.  There are restrictions on agent and lender fees as well as prepayment penalties, but no mention specifically of account-related fees.  Some banks have been requiring that PPP funds be disbursed into a deposit account at the originating bank.  Arguably, any fees associated with that account could </w:t>
      </w:r>
      <w:proofErr w:type="gramStart"/>
      <w:r w:rsidRPr="007D5234">
        <w:rPr>
          <w:rFonts w:ascii="Arial Narrow" w:hAnsi="Arial Narrow" w:cs="Segoe UI"/>
        </w:rPr>
        <w:t>be seen as</w:t>
      </w:r>
      <w:proofErr w:type="gramEnd"/>
      <w:r w:rsidRPr="007D5234">
        <w:rPr>
          <w:rFonts w:ascii="Arial Narrow" w:hAnsi="Arial Narrow" w:cs="Segoe UI"/>
        </w:rPr>
        <w:t xml:space="preserve"> a fee in connection with the PPP loan—this has the potential to be interpreted as a prohibited practice and may jeopardize the bank’s SBA guaranty and ability for forgiveness.  There potentially is less of an issue if the bank is not requiring the borrower to open a deposit account for the purpose of distributing PPP funds—in this scenario, regular maintenance or account fees could </w:t>
      </w:r>
      <w:proofErr w:type="gramStart"/>
      <w:r w:rsidRPr="007D5234">
        <w:rPr>
          <w:rFonts w:ascii="Arial Narrow" w:hAnsi="Arial Narrow" w:cs="Segoe UI"/>
        </w:rPr>
        <w:t>be seen as</w:t>
      </w:r>
      <w:proofErr w:type="gramEnd"/>
      <w:r w:rsidRPr="007D5234">
        <w:rPr>
          <w:rFonts w:ascii="Arial Narrow" w:hAnsi="Arial Narrow" w:cs="Segoe UI"/>
        </w:rPr>
        <w:t xml:space="preserve"> not having been tied </w:t>
      </w:r>
      <w:r w:rsidRPr="007D5234">
        <w:rPr>
          <w:rFonts w:ascii="Arial Narrow" w:hAnsi="Arial Narrow" w:cs="Segoe UI"/>
        </w:rPr>
        <w:lastRenderedPageBreak/>
        <w:t xml:space="preserve">to the making of the PPP loan. But there is the potential that regular maintenance fees or account fees tied to the PPP loan funds required to be distributed into </w:t>
      </w:r>
      <w:r w:rsidR="00CB5255" w:rsidRPr="007D5234">
        <w:rPr>
          <w:rFonts w:ascii="Arial Narrow" w:hAnsi="Arial Narrow" w:cs="Segoe UI"/>
        </w:rPr>
        <w:t>an</w:t>
      </w:r>
      <w:r w:rsidRPr="007D5234">
        <w:rPr>
          <w:rFonts w:ascii="Arial Narrow" w:hAnsi="Arial Narrow" w:cs="Segoe UI"/>
        </w:rPr>
        <w:t xml:space="preserve"> originating bank’s deposit account could </w:t>
      </w:r>
      <w:proofErr w:type="gramStart"/>
      <w:r w:rsidRPr="007D5234">
        <w:rPr>
          <w:rFonts w:ascii="Arial Narrow" w:hAnsi="Arial Narrow" w:cs="Segoe UI"/>
        </w:rPr>
        <w:t>be seen as</w:t>
      </w:r>
      <w:proofErr w:type="gramEnd"/>
      <w:r w:rsidRPr="007D5234">
        <w:rPr>
          <w:rFonts w:ascii="Arial Narrow" w:hAnsi="Arial Narrow" w:cs="Segoe UI"/>
        </w:rPr>
        <w:t xml:space="preserve"> violating the Program. </w:t>
      </w:r>
    </w:p>
    <w:p w14:paraId="582591E8" w14:textId="66BB9636" w:rsidR="00E651DE" w:rsidRPr="007D5234" w:rsidRDefault="00E651DE" w:rsidP="00E651DE">
      <w:pPr>
        <w:spacing w:before="120" w:after="120"/>
        <w:rPr>
          <w:rFonts w:ascii="Arial Narrow" w:hAnsi="Arial Narrow" w:cs="Segoe UI"/>
        </w:rPr>
      </w:pPr>
      <w:r w:rsidRPr="007D5234">
        <w:rPr>
          <w:rFonts w:ascii="Arial Narrow" w:hAnsi="Arial Narrow" w:cs="Segoe UI"/>
        </w:rPr>
        <w:t xml:space="preserve">So it’s important to remember that there is no provision in the CARES Act or SBA Interim Final Rules that </w:t>
      </w:r>
      <w:r w:rsidR="00CB5255" w:rsidRPr="007D5234">
        <w:rPr>
          <w:rFonts w:ascii="Arial Narrow" w:hAnsi="Arial Narrow" w:cs="Segoe UI"/>
        </w:rPr>
        <w:t>says</w:t>
      </w:r>
      <w:r w:rsidRPr="007D5234">
        <w:rPr>
          <w:rFonts w:ascii="Arial Narrow" w:hAnsi="Arial Narrow" w:cs="Segoe UI"/>
        </w:rPr>
        <w:t xml:space="preserve"> you expressly can or cannot charge deposit account fees—with that being said, the conservative interpretation is to not charge fees if there is an argument that the SBA could see this fee as being in connection with the PPP loan, as fees other than the processing fees listed out above may not be included. </w:t>
      </w:r>
    </w:p>
    <w:p w14:paraId="4A7BC191" w14:textId="50EED66B" w:rsidR="00E651DE" w:rsidRPr="007D5234" w:rsidRDefault="00E651DE" w:rsidP="00E651DE">
      <w:pPr>
        <w:spacing w:before="120" w:after="120"/>
        <w:rPr>
          <w:rFonts w:ascii="Arial Narrow" w:hAnsi="Arial Narrow" w:cs="Segoe UI"/>
        </w:rPr>
      </w:pPr>
      <w:r w:rsidRPr="007D5234">
        <w:rPr>
          <w:rFonts w:ascii="Arial Narrow" w:hAnsi="Arial Narrow" w:cs="Segoe UI"/>
        </w:rPr>
        <w:t xml:space="preserve">Additionally, the bank needs to consider UDAAP concerns for waiving fees for certain customers.  Documentation is going to be key in mitigating any of these potential risks. </w:t>
      </w:r>
    </w:p>
    <w:p w14:paraId="3E66C107" w14:textId="67FE79AE" w:rsidR="0050749D" w:rsidRPr="007D5234" w:rsidRDefault="0050749D" w:rsidP="00E651DE">
      <w:pPr>
        <w:spacing w:before="120" w:after="120"/>
        <w:rPr>
          <w:rFonts w:ascii="Arial Narrow" w:hAnsi="Arial Narrow" w:cs="Segoe UI"/>
          <w:b/>
          <w:bCs/>
        </w:rPr>
      </w:pPr>
      <w:r w:rsidRPr="007D5234">
        <w:rPr>
          <w:rFonts w:ascii="Arial" w:hAnsi="Arial" w:cs="Arial"/>
          <w:b/>
          <w:bCs/>
        </w:rPr>
        <w:t>​</w:t>
      </w:r>
      <w:r w:rsidR="002415C7" w:rsidRPr="007D5234">
        <w:rPr>
          <w:rFonts w:ascii="Arial Narrow" w:hAnsi="Arial Narrow" w:cs="Segoe UI"/>
          <w:b/>
          <w:bCs/>
        </w:rPr>
        <w:t>Q</w:t>
      </w:r>
      <w:r w:rsidR="002C7422" w:rsidRPr="007D5234">
        <w:rPr>
          <w:rFonts w:ascii="Arial Narrow" w:hAnsi="Arial Narrow" w:cs="Segoe UI"/>
          <w:b/>
          <w:bCs/>
        </w:rPr>
        <w:t>5</w:t>
      </w:r>
      <w:r w:rsidR="002415C7" w:rsidRPr="007D5234">
        <w:rPr>
          <w:rFonts w:ascii="Arial Narrow" w:hAnsi="Arial Narrow" w:cs="Segoe UI"/>
          <w:b/>
          <w:bCs/>
        </w:rPr>
        <w:t xml:space="preserve">: </w:t>
      </w:r>
      <w:r w:rsidRPr="007D5234">
        <w:rPr>
          <w:rFonts w:ascii="Arial Narrow" w:hAnsi="Arial Narrow" w:cs="Segoe UI"/>
          <w:b/>
          <w:bCs/>
        </w:rPr>
        <w:t xml:space="preserve"> For a business that was not open for the full year of 2019, October to December, can we use a Schedule C with the first part of this year?</w:t>
      </w:r>
    </w:p>
    <w:p w14:paraId="288EFDED" w14:textId="67CDAEE3" w:rsidR="002C7422" w:rsidRPr="007D5234" w:rsidRDefault="002C7422" w:rsidP="00E651DE">
      <w:pPr>
        <w:spacing w:before="120" w:after="120"/>
        <w:rPr>
          <w:rFonts w:ascii="Arial Narrow" w:hAnsi="Arial Narrow" w:cs="Segoe UI"/>
        </w:rPr>
      </w:pPr>
      <w:r w:rsidRPr="007D5234">
        <w:rPr>
          <w:rFonts w:ascii="Arial Narrow" w:hAnsi="Arial Narrow" w:cs="Segoe UI"/>
          <w:b/>
          <w:bCs/>
        </w:rPr>
        <w:t xml:space="preserve">A5:  </w:t>
      </w:r>
      <w:r w:rsidR="007E0E19" w:rsidRPr="007D5234">
        <w:rPr>
          <w:rFonts w:ascii="Arial Narrow" w:hAnsi="Arial Narrow" w:cs="Segoe UI"/>
        </w:rPr>
        <w:t>The only available applicable guidance is as follows:</w:t>
      </w:r>
    </w:p>
    <w:p w14:paraId="1A7360CF" w14:textId="77777777" w:rsidR="00E027B1" w:rsidRPr="007D5234" w:rsidRDefault="007E0E19" w:rsidP="00E651DE">
      <w:pPr>
        <w:spacing w:before="120" w:after="120"/>
        <w:rPr>
          <w:rFonts w:ascii="Arial Narrow" w:hAnsi="Arial Narrow" w:cs="Segoe UI"/>
          <w:i/>
          <w:iCs/>
          <w:color w:val="2F3941"/>
          <w:bdr w:val="none" w:sz="0" w:space="0" w:color="auto" w:frame="1"/>
          <w:shd w:val="clear" w:color="auto" w:fill="FFFFFF"/>
        </w:rPr>
      </w:pPr>
      <w:r w:rsidRPr="007D5234">
        <w:rPr>
          <w:rFonts w:ascii="Arial Narrow" w:hAnsi="Arial Narrow" w:cs="Segoe UI"/>
          <w:i/>
          <w:iCs/>
          <w:color w:val="2F3941"/>
          <w:bdr w:val="none" w:sz="0" w:space="0" w:color="auto" w:frame="1"/>
          <w:shd w:val="clear" w:color="auto" w:fill="FFFFFF"/>
        </w:rPr>
        <w:t>*</w:t>
      </w:r>
      <w:r w:rsidRPr="007D5234">
        <w:rPr>
          <w:rFonts w:ascii="Arial Narrow" w:hAnsi="Arial Narrow" w:cs="Segoe UI"/>
          <w:i/>
          <w:iCs/>
          <w:color w:val="2F3941"/>
          <w:bdr w:val="none" w:sz="0" w:space="0" w:color="auto" w:frame="1"/>
          <w:shd w:val="clear" w:color="auto" w:fill="FFFFFF"/>
        </w:rPr>
        <w:t>As of April 13, 2020</w:t>
      </w:r>
    </w:p>
    <w:p w14:paraId="033938BC" w14:textId="563C822A" w:rsidR="00E027B1" w:rsidRPr="007D5234" w:rsidRDefault="00E027B1" w:rsidP="00E027B1">
      <w:pPr>
        <w:spacing w:before="120" w:after="120"/>
        <w:ind w:left="720"/>
        <w:rPr>
          <w:rFonts w:ascii="Arial Narrow" w:hAnsi="Arial Narrow" w:cs="Segoe UI"/>
          <w:i/>
          <w:iCs/>
          <w:color w:val="2F3941"/>
          <w:bdr w:val="none" w:sz="0" w:space="0" w:color="auto" w:frame="1"/>
          <w:shd w:val="clear" w:color="auto" w:fill="FFFFFF"/>
        </w:rPr>
      </w:pPr>
      <w:r w:rsidRPr="007D5234">
        <w:rPr>
          <w:rFonts w:ascii="Arial Narrow" w:hAnsi="Arial Narrow" w:cs="Segoe UI"/>
          <w:b/>
          <w:bCs/>
          <w:i/>
          <w:iCs/>
          <w:color w:val="2F3941"/>
          <w:bdr w:val="none" w:sz="0" w:space="0" w:color="auto" w:frame="1"/>
        </w:rPr>
        <w:t>14. Question: What time period should borrowers use to determine their number of employees and payroll costs to calculate their maximum loan amounts? </w:t>
      </w:r>
      <w:r w:rsidR="007E0E19" w:rsidRPr="007D5234">
        <w:rPr>
          <w:rFonts w:ascii="Arial Narrow" w:hAnsi="Arial Narrow" w:cs="Segoe UI"/>
          <w:i/>
          <w:iCs/>
          <w:color w:val="2F3941"/>
          <w:bdr w:val="none" w:sz="0" w:space="0" w:color="auto" w:frame="1"/>
          <w:shd w:val="clear" w:color="auto" w:fill="FFFFFF"/>
        </w:rPr>
        <w:t xml:space="preserve"> </w:t>
      </w:r>
    </w:p>
    <w:p w14:paraId="58BB3678" w14:textId="42F3B2C2" w:rsidR="007E0E19" w:rsidRPr="007D5234" w:rsidRDefault="007E0E19" w:rsidP="00E027B1">
      <w:pPr>
        <w:spacing w:before="120" w:after="120"/>
        <w:ind w:left="720"/>
        <w:rPr>
          <w:rFonts w:ascii="Arial Narrow" w:hAnsi="Arial Narrow" w:cs="Segoe UI"/>
        </w:rPr>
      </w:pPr>
      <w:r w:rsidRPr="007D5234">
        <w:rPr>
          <w:rFonts w:ascii="Arial Narrow" w:hAnsi="Arial Narrow" w:cs="Segoe UI"/>
          <w:i/>
          <w:iCs/>
          <w:color w:val="2F3941"/>
          <w:bdr w:val="none" w:sz="0" w:space="0" w:color="auto" w:frame="1"/>
          <w:shd w:val="clear" w:color="auto" w:fill="FFFFFF"/>
        </w:rPr>
        <w:t>Answer: In general, borrowers can calculate their aggregate payroll costs using data either from the previous 12 months or from calendar year 2019. For seasonal businesses, the applicant may use average monthly payroll for the period between February 15, 2019, or March 1, 2019, and June 30, 2019. An applicant that was not in business from February 15, 2019 to June 30, 2019 may use the average monthly payroll costs for the period January 1, 2020 through February 29, 2020. Borrowers may use their average employment over the same time periods to determine their number of employees, for the purposes of applying an employee-based size standard. Alternatively, borrowers may elect to use SBA’s usual calculation: the average number of employees per pay period in the 12 completed calendar months prior to the date of the loan application (or the average number of employees for each of the pay periods that the business has been operational, if it has not been operational for 12 months).</w:t>
      </w:r>
      <w:r w:rsidRPr="007D5234">
        <w:rPr>
          <w:rFonts w:ascii="Arial Narrow" w:hAnsi="Arial Narrow" w:cs="Segoe UI"/>
          <w:color w:val="2F3941"/>
        </w:rPr>
        <w:br/>
      </w:r>
      <w:r w:rsidR="00E027B1" w:rsidRPr="007D5234">
        <w:rPr>
          <w:rFonts w:ascii="Arial Narrow" w:hAnsi="Arial Narrow" w:cs="Segoe UI"/>
          <w:color w:val="2F3941"/>
          <w:bdr w:val="none" w:sz="0" w:space="0" w:color="auto" w:frame="1"/>
        </w:rPr>
        <w:t xml:space="preserve">Source: </w:t>
      </w:r>
      <w:hyperlink r:id="rId18" w:history="1">
        <w:r w:rsidR="00E027B1" w:rsidRPr="007D5234">
          <w:rPr>
            <w:rStyle w:val="Hyperlink"/>
            <w:rFonts w:ascii="Arial Narrow" w:hAnsi="Arial Narrow" w:cs="Segoe UI"/>
            <w:bdr w:val="none" w:sz="0" w:space="0" w:color="auto" w:frame="1"/>
          </w:rPr>
          <w:t>https://home.treasury.gov/system/files/136/Paycheck-Protection-Program-Frequently-Asked-Questions.pdf</w:t>
        </w:r>
      </w:hyperlink>
    </w:p>
    <w:p w14:paraId="3683E134" w14:textId="77777777" w:rsidR="002415C7" w:rsidRPr="007D5234" w:rsidRDefault="002415C7" w:rsidP="00E651DE">
      <w:pPr>
        <w:spacing w:before="120" w:after="120"/>
        <w:rPr>
          <w:rFonts w:ascii="Arial Narrow" w:hAnsi="Arial Narrow" w:cs="Arial"/>
          <w:b/>
          <w:bCs/>
          <w:u w:val="single"/>
        </w:rPr>
      </w:pPr>
      <w:r w:rsidRPr="007D5234">
        <w:rPr>
          <w:rFonts w:ascii="Arial" w:hAnsi="Arial" w:cs="Arial"/>
          <w:u w:val="single"/>
        </w:rPr>
        <w:t>​</w:t>
      </w:r>
      <w:r w:rsidRPr="007D5234">
        <w:rPr>
          <w:rFonts w:ascii="Arial Narrow" w:hAnsi="Arial Narrow" w:cs="Arial"/>
          <w:b/>
          <w:bCs/>
          <w:u w:val="single"/>
        </w:rPr>
        <w:t>Advance Notice Questions:</w:t>
      </w:r>
    </w:p>
    <w:p w14:paraId="7C634B79" w14:textId="3C7BF707" w:rsidR="002415C7" w:rsidRPr="007D5234" w:rsidRDefault="002415C7" w:rsidP="00E651DE">
      <w:pPr>
        <w:spacing w:before="120" w:after="120"/>
        <w:rPr>
          <w:rFonts w:ascii="Arial Narrow" w:hAnsi="Arial Narrow" w:cs="Segoe UI"/>
          <w:b/>
          <w:bCs/>
        </w:rPr>
      </w:pPr>
      <w:r w:rsidRPr="007D5234">
        <w:rPr>
          <w:rFonts w:ascii="Arial Narrow" w:hAnsi="Arial Narrow" w:cs="Calibri"/>
          <w:b/>
          <w:bCs/>
        </w:rPr>
        <w:t>Q</w:t>
      </w:r>
      <w:r w:rsidR="002C7422" w:rsidRPr="007D5234">
        <w:rPr>
          <w:rFonts w:ascii="Arial Narrow" w:hAnsi="Arial Narrow" w:cs="Calibri"/>
          <w:b/>
          <w:bCs/>
        </w:rPr>
        <w:t>6</w:t>
      </w:r>
      <w:r w:rsidRPr="007D5234">
        <w:rPr>
          <w:rFonts w:ascii="Arial Narrow" w:hAnsi="Arial Narrow" w:cs="Calibri"/>
          <w:b/>
          <w:bCs/>
        </w:rPr>
        <w:t xml:space="preserve">: </w:t>
      </w:r>
      <w:r w:rsidRPr="007D5234">
        <w:rPr>
          <w:rFonts w:ascii="Arial Narrow" w:hAnsi="Arial Narrow" w:cs="Segoe UI"/>
          <w:b/>
          <w:bCs/>
        </w:rPr>
        <w:t>For Reg D, if we provide notice via a statement message to our clients that the fee is temporarily being waived,</w:t>
      </w:r>
      <w:r w:rsidR="00E027B1" w:rsidRPr="007D5234">
        <w:rPr>
          <w:rFonts w:ascii="Arial Narrow" w:hAnsi="Arial Narrow" w:cs="Segoe UI"/>
          <w:b/>
          <w:bCs/>
        </w:rPr>
        <w:t xml:space="preserve"> </w:t>
      </w:r>
      <w:r w:rsidRPr="007D5234">
        <w:rPr>
          <w:rFonts w:ascii="Arial Narrow" w:hAnsi="Arial Narrow" w:cs="Segoe UI"/>
          <w:b/>
          <w:bCs/>
        </w:rPr>
        <w:t xml:space="preserve">would it be </w:t>
      </w:r>
      <w:r w:rsidR="00E027B1" w:rsidRPr="007D5234">
        <w:rPr>
          <w:rFonts w:ascii="Arial Narrow" w:hAnsi="Arial Narrow" w:cs="Segoe UI"/>
          <w:b/>
          <w:bCs/>
        </w:rPr>
        <w:t>enough</w:t>
      </w:r>
      <w:r w:rsidRPr="007D5234">
        <w:rPr>
          <w:rFonts w:ascii="Arial Narrow" w:hAnsi="Arial Narrow" w:cs="Segoe UI"/>
          <w:b/>
          <w:bCs/>
        </w:rPr>
        <w:t xml:space="preserve"> to notify them of the reinstatement of the fee via the statement message?</w:t>
      </w:r>
    </w:p>
    <w:p w14:paraId="617E8B06" w14:textId="61222F43" w:rsidR="0038421A" w:rsidRPr="007D5234" w:rsidRDefault="00E027B1" w:rsidP="00E651DE">
      <w:pPr>
        <w:spacing w:before="120" w:after="120"/>
        <w:rPr>
          <w:rFonts w:ascii="Arial Narrow" w:hAnsi="Arial Narrow" w:cs="Segoe UI"/>
        </w:rPr>
      </w:pPr>
      <w:r w:rsidRPr="007D5234">
        <w:rPr>
          <w:rFonts w:ascii="Arial Narrow" w:hAnsi="Arial Narrow" w:cs="Segoe UI"/>
          <w:b/>
          <w:bCs/>
        </w:rPr>
        <w:t xml:space="preserve">A6:  </w:t>
      </w:r>
      <w:r w:rsidRPr="007D5234">
        <w:rPr>
          <w:rFonts w:ascii="Arial Narrow" w:hAnsi="Arial Narrow" w:cs="Segoe UI"/>
        </w:rPr>
        <w:t xml:space="preserve">Reg DD’s requirement is for advance notice to be given to consumer </w:t>
      </w:r>
      <w:r w:rsidR="00BA49F6" w:rsidRPr="007D5234">
        <w:rPr>
          <w:rFonts w:ascii="Arial Narrow" w:hAnsi="Arial Narrow" w:cs="Segoe UI"/>
        </w:rPr>
        <w:t xml:space="preserve">when it will adversely affect them.  This notice must be provided at least 30 calendar days before the effective date of the change (See generally 1030.5(a)(1)).  With that being said, the Regulation further states that the notice can be “on or with a periodic statement, or in another mailing.”  </w:t>
      </w:r>
      <w:r w:rsidR="0038421A" w:rsidRPr="007D5234">
        <w:rPr>
          <w:rFonts w:ascii="Arial Narrow" w:hAnsi="Arial Narrow" w:cs="Segoe UI"/>
        </w:rPr>
        <w:t xml:space="preserve">Or, if the institution “provides notice through revised account disclosures, the changed term must be highlighted in some manner.”  These are the only permissible examples under the Regulation. </w:t>
      </w:r>
    </w:p>
    <w:p w14:paraId="3359436C" w14:textId="6706822A" w:rsidR="00E027B1" w:rsidRPr="007D5234" w:rsidRDefault="0038421A" w:rsidP="0038421A">
      <w:pPr>
        <w:spacing w:before="120" w:after="120"/>
        <w:rPr>
          <w:rFonts w:ascii="Arial Narrow" w:hAnsi="Arial Narrow" w:cs="Segoe UI"/>
        </w:rPr>
      </w:pPr>
      <w:r w:rsidRPr="007D5234">
        <w:rPr>
          <w:rFonts w:ascii="Arial Narrow" w:hAnsi="Arial Narrow" w:cs="Segoe UI"/>
        </w:rPr>
        <w:t xml:space="preserve">See generally 1030.5(a)(1) and Comment-1 here: </w:t>
      </w:r>
      <w:hyperlink r:id="rId19" w:anchor="a-1" w:history="1">
        <w:r w:rsidRPr="007D5234">
          <w:rPr>
            <w:rStyle w:val="Hyperlink"/>
            <w:rFonts w:ascii="Arial Narrow" w:hAnsi="Arial Narrow"/>
          </w:rPr>
          <w:t>https://www.consumerfinance.gov/policy-compliance/rulemaking/regulations/1030/5/#a-1</w:t>
        </w:r>
      </w:hyperlink>
    </w:p>
    <w:p w14:paraId="714AF8FD" w14:textId="642A9AAB" w:rsidR="001235C7" w:rsidRPr="007D5234" w:rsidRDefault="00C9108E" w:rsidP="00E651DE">
      <w:pPr>
        <w:spacing w:before="120" w:after="120"/>
        <w:rPr>
          <w:rFonts w:ascii="Arial Narrow" w:hAnsi="Arial Narrow" w:cs="Calibri"/>
          <w:b/>
          <w:bCs/>
          <w:u w:val="single"/>
        </w:rPr>
      </w:pPr>
      <w:r w:rsidRPr="007D5234">
        <w:rPr>
          <w:rFonts w:ascii="Arial Narrow" w:hAnsi="Arial Narrow" w:cs="Calibri"/>
          <w:b/>
          <w:bCs/>
          <w:u w:val="single"/>
        </w:rPr>
        <w:t xml:space="preserve">Huddle Miscellaneous </w:t>
      </w:r>
      <w:r w:rsidR="00144026" w:rsidRPr="007D5234">
        <w:rPr>
          <w:rFonts w:ascii="Arial Narrow" w:hAnsi="Arial Narrow" w:cs="Calibri"/>
          <w:b/>
          <w:bCs/>
          <w:u w:val="single"/>
        </w:rPr>
        <w:t xml:space="preserve">Questions and </w:t>
      </w:r>
      <w:r w:rsidRPr="007D5234">
        <w:rPr>
          <w:rFonts w:ascii="Arial Narrow" w:hAnsi="Arial Narrow" w:cs="Calibri"/>
          <w:b/>
          <w:bCs/>
          <w:u w:val="single"/>
        </w:rPr>
        <w:t>Answers from Participants:</w:t>
      </w:r>
    </w:p>
    <w:p w14:paraId="6E1EEDF7" w14:textId="53872EFE" w:rsidR="001235C7" w:rsidRPr="001235C7" w:rsidRDefault="00144026" w:rsidP="00E651DE">
      <w:pPr>
        <w:shd w:val="clear" w:color="auto" w:fill="FFFFFF"/>
        <w:spacing w:before="120" w:after="120"/>
        <w:textAlignment w:val="baseline"/>
        <w:rPr>
          <w:rFonts w:ascii="Arial Narrow" w:eastAsia="Times New Roman" w:hAnsi="Arial Narrow" w:cs="Segoe UI"/>
          <w:b/>
          <w:bCs/>
          <w:color w:val="2F3941"/>
        </w:rPr>
      </w:pPr>
      <w:r w:rsidRPr="007D5234">
        <w:rPr>
          <w:rFonts w:ascii="Arial Narrow" w:eastAsia="Times New Roman" w:hAnsi="Arial Narrow" w:cs="Segoe UI"/>
          <w:b/>
          <w:bCs/>
          <w:color w:val="2F3941"/>
        </w:rPr>
        <w:t xml:space="preserve">Q1:  </w:t>
      </w:r>
      <w:r w:rsidR="001235C7" w:rsidRPr="001235C7">
        <w:rPr>
          <w:rFonts w:ascii="Arial Narrow" w:eastAsia="Times New Roman" w:hAnsi="Arial Narrow" w:cs="Segoe UI"/>
          <w:b/>
          <w:bCs/>
          <w:color w:val="2F3941"/>
        </w:rPr>
        <w:t>Are banks waiving the 6-withdrawal limit on their non-transaction accounts for their customers?</w:t>
      </w:r>
    </w:p>
    <w:p w14:paraId="1C180CBF" w14:textId="2E6BD21C" w:rsidR="00144026" w:rsidRPr="007D5234" w:rsidRDefault="00144026" w:rsidP="00144026">
      <w:pPr>
        <w:spacing w:before="120" w:after="120"/>
        <w:rPr>
          <w:rFonts w:ascii="Arial Narrow" w:hAnsi="Arial Narrow" w:cs="Segoe UI"/>
          <w:b/>
          <w:bCs/>
        </w:rPr>
      </w:pPr>
      <w:r w:rsidRPr="007D5234">
        <w:rPr>
          <w:rFonts w:ascii="Arial Narrow" w:eastAsia="Times New Roman" w:hAnsi="Arial Narrow" w:cs="Segoe UI"/>
          <w:b/>
          <w:bCs/>
          <w:color w:val="2F3941"/>
        </w:rPr>
        <w:lastRenderedPageBreak/>
        <w:t xml:space="preserve">Bank </w:t>
      </w:r>
      <w:proofErr w:type="gramStart"/>
      <w:r w:rsidRPr="007D5234">
        <w:rPr>
          <w:rFonts w:ascii="Arial Narrow" w:eastAsia="Times New Roman" w:hAnsi="Arial Narrow" w:cs="Segoe UI"/>
          <w:b/>
          <w:bCs/>
          <w:color w:val="2F3941"/>
        </w:rPr>
        <w:t>A</w:t>
      </w:r>
      <w:proofErr w:type="gramEnd"/>
      <w:r w:rsidRPr="007D5234">
        <w:rPr>
          <w:rFonts w:ascii="Arial Narrow" w:eastAsia="Times New Roman" w:hAnsi="Arial Narrow" w:cs="Segoe UI"/>
          <w:b/>
          <w:bCs/>
          <w:color w:val="2F3941"/>
        </w:rPr>
        <w:t xml:space="preserve"> A1:  </w:t>
      </w:r>
      <w:r w:rsidR="001235C7" w:rsidRPr="001235C7">
        <w:rPr>
          <w:rFonts w:ascii="Arial Narrow" w:eastAsia="Times New Roman" w:hAnsi="Arial Narrow" w:cs="Segoe UI"/>
          <w:color w:val="2F3941"/>
        </w:rPr>
        <w:t xml:space="preserve">No, </w:t>
      </w:r>
      <w:r w:rsidRPr="007D5234">
        <w:rPr>
          <w:rFonts w:ascii="Arial Narrow" w:eastAsia="Times New Roman" w:hAnsi="Arial Narrow" w:cs="Segoe UI"/>
          <w:color w:val="2F3941"/>
        </w:rPr>
        <w:t>bank wide</w:t>
      </w:r>
      <w:r w:rsidR="001235C7" w:rsidRPr="001235C7">
        <w:rPr>
          <w:rFonts w:ascii="Arial Narrow" w:eastAsia="Times New Roman" w:hAnsi="Arial Narrow" w:cs="Segoe UI"/>
          <w:color w:val="2F3941"/>
        </w:rPr>
        <w:t>, we are not. We consider waiving the limit on a case-by-case basis. Given the Fed’s recent interim rule revising Reg D, we are no longer tracking the limitation, and subsequently converting savings/MMDA accounts to transactional accounts. We do, however, charge for excessive withdrawals, and plan to continue doing so as part of the bank’s deposit and funding strategy.</w:t>
      </w:r>
      <w:r w:rsidRPr="007D5234">
        <w:rPr>
          <w:rFonts w:ascii="Arial Narrow" w:hAnsi="Arial Narrow" w:cs="Segoe UI"/>
          <w:b/>
          <w:bCs/>
        </w:rPr>
        <w:t xml:space="preserve"> </w:t>
      </w:r>
    </w:p>
    <w:p w14:paraId="0BC10175" w14:textId="775B1679" w:rsidR="00144026" w:rsidRPr="007D5234" w:rsidRDefault="00144026" w:rsidP="00144026">
      <w:pPr>
        <w:spacing w:before="120" w:after="120"/>
        <w:rPr>
          <w:rFonts w:ascii="Arial Narrow" w:hAnsi="Arial Narrow"/>
        </w:rPr>
      </w:pPr>
      <w:r w:rsidRPr="007D5234">
        <w:rPr>
          <w:rFonts w:ascii="Arial Narrow" w:hAnsi="Arial Narrow" w:cs="Segoe UI"/>
          <w:b/>
          <w:bCs/>
        </w:rPr>
        <w:t xml:space="preserve">Bank B A1: </w:t>
      </w:r>
      <w:r w:rsidRPr="007D5234">
        <w:rPr>
          <w:rFonts w:ascii="Arial Narrow" w:hAnsi="Arial Narrow" w:cs="Segoe UI"/>
        </w:rPr>
        <w:t xml:space="preserve">We have decided there are too many things in the air to disclose and change what we are doing/saying on Reg DD savings transfer limits.  There </w:t>
      </w:r>
      <w:r w:rsidRPr="007D5234">
        <w:rPr>
          <w:rFonts w:ascii="Arial Narrow" w:hAnsi="Arial Narrow" w:cs="Segoe UI"/>
        </w:rPr>
        <w:t>are</w:t>
      </w:r>
      <w:r w:rsidRPr="007D5234">
        <w:rPr>
          <w:rFonts w:ascii="Arial Narrow" w:hAnsi="Arial Narrow" w:cs="Segoe UI"/>
        </w:rPr>
        <w:t xml:space="preserve"> just too many pots on fire on the stove right now to change that too.</w:t>
      </w:r>
    </w:p>
    <w:p w14:paraId="035A3941" w14:textId="161877EF" w:rsidR="001235C7" w:rsidRPr="001235C7" w:rsidRDefault="00144026" w:rsidP="00E651DE">
      <w:pPr>
        <w:shd w:val="clear" w:color="auto" w:fill="FFFFFF"/>
        <w:spacing w:before="120" w:after="120"/>
        <w:textAlignment w:val="baseline"/>
        <w:rPr>
          <w:rFonts w:ascii="Arial Narrow" w:eastAsia="Times New Roman" w:hAnsi="Arial Narrow" w:cs="Segoe UI"/>
          <w:b/>
          <w:bCs/>
          <w:color w:val="2F3941"/>
        </w:rPr>
      </w:pPr>
      <w:r w:rsidRPr="007D5234">
        <w:rPr>
          <w:rFonts w:ascii="Arial Narrow" w:eastAsia="Times New Roman" w:hAnsi="Arial Narrow" w:cs="Segoe UI"/>
          <w:b/>
          <w:bCs/>
          <w:color w:val="2F3941"/>
        </w:rPr>
        <w:t xml:space="preserve">Q2:  </w:t>
      </w:r>
      <w:r w:rsidR="001235C7" w:rsidRPr="001235C7">
        <w:rPr>
          <w:rFonts w:ascii="Arial Narrow" w:eastAsia="Times New Roman" w:hAnsi="Arial Narrow" w:cs="Segoe UI"/>
          <w:b/>
          <w:bCs/>
          <w:color w:val="2F3941"/>
        </w:rPr>
        <w:t>When are other banks planning on re-opening lobbies?</w:t>
      </w:r>
    </w:p>
    <w:p w14:paraId="3753177B" w14:textId="243B907E" w:rsidR="001235C7" w:rsidRPr="001235C7" w:rsidRDefault="00144026" w:rsidP="00E651DE">
      <w:pPr>
        <w:shd w:val="clear" w:color="auto" w:fill="FFFFFF"/>
        <w:spacing w:before="120" w:after="120"/>
        <w:textAlignment w:val="baseline"/>
        <w:rPr>
          <w:rFonts w:ascii="Arial Narrow" w:eastAsia="Times New Roman" w:hAnsi="Arial Narrow" w:cs="Segoe UI"/>
          <w:color w:val="2F3941"/>
        </w:rPr>
      </w:pPr>
      <w:r w:rsidRPr="007D5234">
        <w:rPr>
          <w:rFonts w:ascii="Arial Narrow" w:eastAsia="Times New Roman" w:hAnsi="Arial Narrow" w:cs="Segoe UI"/>
          <w:b/>
          <w:bCs/>
          <w:color w:val="2F3941"/>
        </w:rPr>
        <w:t xml:space="preserve">Bank </w:t>
      </w:r>
      <w:proofErr w:type="gramStart"/>
      <w:r w:rsidRPr="007D5234">
        <w:rPr>
          <w:rFonts w:ascii="Arial Narrow" w:eastAsia="Times New Roman" w:hAnsi="Arial Narrow" w:cs="Segoe UI"/>
          <w:b/>
          <w:bCs/>
          <w:color w:val="2F3941"/>
        </w:rPr>
        <w:t>A</w:t>
      </w:r>
      <w:proofErr w:type="gramEnd"/>
      <w:r w:rsidRPr="007D5234">
        <w:rPr>
          <w:rFonts w:ascii="Arial Narrow" w:eastAsia="Times New Roman" w:hAnsi="Arial Narrow" w:cs="Segoe UI"/>
          <w:b/>
          <w:bCs/>
          <w:color w:val="2F3941"/>
        </w:rPr>
        <w:t xml:space="preserve"> A1:  </w:t>
      </w:r>
      <w:r w:rsidR="001235C7" w:rsidRPr="001235C7">
        <w:rPr>
          <w:rFonts w:ascii="Arial Narrow" w:eastAsia="Times New Roman" w:hAnsi="Arial Narrow" w:cs="Segoe UI"/>
          <w:color w:val="2F3941"/>
        </w:rPr>
        <w:t xml:space="preserve">We’ve elected to move forward with an “appointment only” approach to our branches and do not plan to reopen them more widely anytime soon. This decision is aligned with our business model, customer base, where our branches are located. We do very little consumer banking and our branches had little traffic prior to COVID. I’d encourage banks to customize their reopening process in the same manner. What makes sense for them based on where there are located? What </w:t>
      </w:r>
      <w:r w:rsidRPr="007D5234">
        <w:rPr>
          <w:rFonts w:ascii="Arial Narrow" w:eastAsia="Times New Roman" w:hAnsi="Arial Narrow" w:cs="Segoe UI"/>
          <w:color w:val="2F3941"/>
        </w:rPr>
        <w:t>is</w:t>
      </w:r>
      <w:r w:rsidR="001235C7" w:rsidRPr="001235C7">
        <w:rPr>
          <w:rFonts w:ascii="Arial Narrow" w:eastAsia="Times New Roman" w:hAnsi="Arial Narrow" w:cs="Segoe UI"/>
          <w:color w:val="2F3941"/>
        </w:rPr>
        <w:t xml:space="preserve"> their State’s COVID restrictions, their customer base and their available </w:t>
      </w:r>
      <w:proofErr w:type="spellStart"/>
      <w:r w:rsidR="001235C7" w:rsidRPr="001235C7">
        <w:rPr>
          <w:rFonts w:ascii="Arial Narrow" w:eastAsia="Times New Roman" w:hAnsi="Arial Narrow" w:cs="Segoe UI"/>
          <w:color w:val="2F3941"/>
        </w:rPr>
        <w:t>eBanking</w:t>
      </w:r>
      <w:proofErr w:type="spellEnd"/>
      <w:r w:rsidR="001235C7" w:rsidRPr="001235C7">
        <w:rPr>
          <w:rFonts w:ascii="Arial Narrow" w:eastAsia="Times New Roman" w:hAnsi="Arial Narrow" w:cs="Segoe UI"/>
          <w:color w:val="2F3941"/>
        </w:rPr>
        <w:t xml:space="preserve"> / mobile banking functionality, </w:t>
      </w:r>
      <w:r w:rsidRPr="007D5234">
        <w:rPr>
          <w:rFonts w:ascii="Arial Narrow" w:eastAsia="Times New Roman" w:hAnsi="Arial Narrow" w:cs="Segoe UI"/>
          <w:color w:val="2F3941"/>
        </w:rPr>
        <w:t>etc.</w:t>
      </w:r>
      <w:r w:rsidR="001235C7" w:rsidRPr="001235C7">
        <w:rPr>
          <w:rFonts w:ascii="Arial Narrow" w:eastAsia="Times New Roman" w:hAnsi="Arial Narrow" w:cs="Segoe UI"/>
          <w:color w:val="2F3941"/>
        </w:rPr>
        <w:t>?</w:t>
      </w:r>
    </w:p>
    <w:p w14:paraId="5E2D1C48" w14:textId="77777777" w:rsidR="001235C7" w:rsidRPr="007D5234" w:rsidRDefault="001235C7" w:rsidP="00E651DE">
      <w:pPr>
        <w:spacing w:before="120" w:after="120"/>
        <w:rPr>
          <w:rFonts w:ascii="Arial Narrow" w:hAnsi="Arial Narrow" w:cs="Segoe UI"/>
        </w:rPr>
      </w:pPr>
    </w:p>
    <w:p w14:paraId="3CB588A1" w14:textId="77777777" w:rsidR="00144026" w:rsidRPr="007D5234" w:rsidRDefault="00144026">
      <w:pPr>
        <w:spacing w:before="120" w:after="120"/>
        <w:rPr>
          <w:rFonts w:ascii="Arial Narrow" w:hAnsi="Arial Narrow"/>
          <w:b/>
          <w:bCs/>
        </w:rPr>
      </w:pPr>
    </w:p>
    <w:sectPr w:rsidR="00144026" w:rsidRPr="007D5234" w:rsidSect="00B171C3">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1DD67" w14:textId="77777777" w:rsidR="00582137" w:rsidRDefault="00582137">
      <w:pPr>
        <w:spacing w:after="0" w:line="240" w:lineRule="auto"/>
      </w:pPr>
      <w:r>
        <w:separator/>
      </w:r>
    </w:p>
  </w:endnote>
  <w:endnote w:type="continuationSeparator" w:id="0">
    <w:p w14:paraId="638E6AA4" w14:textId="77777777" w:rsidR="00582137" w:rsidRDefault="0058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C4DCC" w14:textId="7C1716B5" w:rsidR="003E237A" w:rsidRDefault="003E237A" w:rsidP="00CE099D">
    <w:pPr>
      <w:pStyle w:val="Footer"/>
      <w:pBdr>
        <w:top w:val="single" w:sz="4" w:space="1" w:color="D9D9D9" w:themeColor="background1" w:themeShade="D9"/>
      </w:pBdr>
      <w:jc w:val="right"/>
    </w:pPr>
    <w:r>
      <w:rPr>
        <w:noProof/>
      </w:rPr>
      <w:drawing>
        <wp:anchor distT="0" distB="0" distL="114300" distR="114300" simplePos="0" relativeHeight="251659264" behindDoc="0" locked="0" layoutInCell="1" allowOverlap="1" wp14:anchorId="0916E113" wp14:editId="4DC55418">
          <wp:simplePos x="0" y="0"/>
          <wp:positionH relativeFrom="column">
            <wp:posOffset>-257861</wp:posOffset>
          </wp:positionH>
          <wp:positionV relativeFrom="paragraph">
            <wp:posOffset>2794</wp:posOffset>
          </wp:positionV>
          <wp:extent cx="381000" cy="38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rFonts w:ascii="Arial Narrow" w:hAnsi="Arial Narrow" w:cs="Arial"/>
        <w:b/>
        <w:color w:val="242A2E"/>
      </w:rPr>
      <w:t>© Compliance Alliance 2020</w:t>
    </w:r>
    <w:r>
      <w:rPr>
        <w:rFonts w:ascii="Arial Narrow" w:hAnsi="Arial Narrow" w:cs="Arial"/>
        <w:b/>
        <w:color w:val="242A2E"/>
      </w:rPr>
      <w:tab/>
    </w:r>
    <w:r>
      <w:rPr>
        <w:rFonts w:ascii="Arial Narrow" w:hAnsi="Arial Narrow" w:cs="Arial"/>
        <w:b/>
        <w:color w:val="242A2E"/>
      </w:rPr>
      <w:tab/>
    </w:r>
    <w:sdt>
      <w:sdtPr>
        <w:id w:val="1493600115"/>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Pr>
            <w:noProof/>
          </w:rPr>
          <w:t>35</w:t>
        </w:r>
        <w:r>
          <w:rPr>
            <w:noProof/>
          </w:rPr>
          <w:fldChar w:fldCharType="end"/>
        </w:r>
        <w:r>
          <w:t xml:space="preserve"> | </w:t>
        </w:r>
        <w:r>
          <w:rPr>
            <w:color w:val="808080" w:themeColor="background1" w:themeShade="80"/>
            <w:spacing w:val="60"/>
          </w:rPr>
          <w:t>Page</w:t>
        </w:r>
      </w:sdtContent>
    </w:sdt>
  </w:p>
  <w:p w14:paraId="38513332" w14:textId="77777777" w:rsidR="003E237A" w:rsidRDefault="003E237A" w:rsidP="00CE099D">
    <w:pPr>
      <w:pStyle w:val="Footer"/>
    </w:pPr>
  </w:p>
  <w:p w14:paraId="1E25E5D3" w14:textId="77777777" w:rsidR="003E237A" w:rsidRDefault="003E2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3F960" w14:textId="77777777" w:rsidR="00582137" w:rsidRDefault="00582137">
      <w:pPr>
        <w:spacing w:after="0" w:line="240" w:lineRule="auto"/>
      </w:pPr>
      <w:r>
        <w:separator/>
      </w:r>
    </w:p>
  </w:footnote>
  <w:footnote w:type="continuationSeparator" w:id="0">
    <w:p w14:paraId="49463223" w14:textId="77777777" w:rsidR="00582137" w:rsidRDefault="00582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83579"/>
    <w:multiLevelType w:val="hybridMultilevel"/>
    <w:tmpl w:val="2D7A255C"/>
    <w:lvl w:ilvl="0" w:tplc="30AA6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A720D"/>
    <w:multiLevelType w:val="hybridMultilevel"/>
    <w:tmpl w:val="B46AB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156EB"/>
    <w:multiLevelType w:val="hybridMultilevel"/>
    <w:tmpl w:val="8A92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36853"/>
    <w:multiLevelType w:val="hybridMultilevel"/>
    <w:tmpl w:val="7C24E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D1B43"/>
    <w:multiLevelType w:val="hybridMultilevel"/>
    <w:tmpl w:val="08AE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67324"/>
    <w:multiLevelType w:val="hybridMultilevel"/>
    <w:tmpl w:val="F050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F5576"/>
    <w:multiLevelType w:val="hybridMultilevel"/>
    <w:tmpl w:val="BA5E4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D69AC"/>
    <w:multiLevelType w:val="hybridMultilevel"/>
    <w:tmpl w:val="6D0CF43C"/>
    <w:lvl w:ilvl="0" w:tplc="9AB24EC6">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1756E6"/>
    <w:multiLevelType w:val="hybridMultilevel"/>
    <w:tmpl w:val="0B04DD38"/>
    <w:lvl w:ilvl="0" w:tplc="B03CA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C147AF"/>
    <w:multiLevelType w:val="hybridMultilevel"/>
    <w:tmpl w:val="7F8C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91665"/>
    <w:multiLevelType w:val="hybridMultilevel"/>
    <w:tmpl w:val="9A32D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40763"/>
    <w:multiLevelType w:val="hybridMultilevel"/>
    <w:tmpl w:val="206C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0159F"/>
    <w:multiLevelType w:val="hybridMultilevel"/>
    <w:tmpl w:val="430E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5341D"/>
    <w:multiLevelType w:val="hybridMultilevel"/>
    <w:tmpl w:val="7AB8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E6B8F"/>
    <w:multiLevelType w:val="hybridMultilevel"/>
    <w:tmpl w:val="7F16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14F3E"/>
    <w:multiLevelType w:val="hybridMultilevel"/>
    <w:tmpl w:val="9F8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B43D8"/>
    <w:multiLevelType w:val="hybridMultilevel"/>
    <w:tmpl w:val="D54A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91152"/>
    <w:multiLevelType w:val="hybridMultilevel"/>
    <w:tmpl w:val="687CE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083151"/>
    <w:multiLevelType w:val="hybridMultilevel"/>
    <w:tmpl w:val="75AA7396"/>
    <w:lvl w:ilvl="0" w:tplc="5FAA864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174EB"/>
    <w:multiLevelType w:val="hybridMultilevel"/>
    <w:tmpl w:val="6B4A77AE"/>
    <w:lvl w:ilvl="0" w:tplc="D4ECEE96">
      <w:start w:val="4"/>
      <w:numFmt w:val="decimal"/>
      <w:lvlText w:val="%1."/>
      <w:lvlJc w:val="left"/>
      <w:pPr>
        <w:tabs>
          <w:tab w:val="num" w:pos="720"/>
        </w:tabs>
        <w:ind w:left="720" w:hanging="360"/>
      </w:pPr>
    </w:lvl>
    <w:lvl w:ilvl="1" w:tplc="70C0E4D2" w:tentative="1">
      <w:start w:val="1"/>
      <w:numFmt w:val="decimal"/>
      <w:lvlText w:val="%2."/>
      <w:lvlJc w:val="left"/>
      <w:pPr>
        <w:tabs>
          <w:tab w:val="num" w:pos="1440"/>
        </w:tabs>
        <w:ind w:left="1440" w:hanging="360"/>
      </w:pPr>
    </w:lvl>
    <w:lvl w:ilvl="2" w:tplc="D39C7D48" w:tentative="1">
      <w:start w:val="1"/>
      <w:numFmt w:val="decimal"/>
      <w:lvlText w:val="%3."/>
      <w:lvlJc w:val="left"/>
      <w:pPr>
        <w:tabs>
          <w:tab w:val="num" w:pos="2160"/>
        </w:tabs>
        <w:ind w:left="2160" w:hanging="360"/>
      </w:pPr>
    </w:lvl>
    <w:lvl w:ilvl="3" w:tplc="D1C626EE" w:tentative="1">
      <w:start w:val="1"/>
      <w:numFmt w:val="decimal"/>
      <w:lvlText w:val="%4."/>
      <w:lvlJc w:val="left"/>
      <w:pPr>
        <w:tabs>
          <w:tab w:val="num" w:pos="2880"/>
        </w:tabs>
        <w:ind w:left="2880" w:hanging="360"/>
      </w:pPr>
    </w:lvl>
    <w:lvl w:ilvl="4" w:tplc="CCE030C6" w:tentative="1">
      <w:start w:val="1"/>
      <w:numFmt w:val="decimal"/>
      <w:lvlText w:val="%5."/>
      <w:lvlJc w:val="left"/>
      <w:pPr>
        <w:tabs>
          <w:tab w:val="num" w:pos="3600"/>
        </w:tabs>
        <w:ind w:left="3600" w:hanging="360"/>
      </w:pPr>
    </w:lvl>
    <w:lvl w:ilvl="5" w:tplc="96165344" w:tentative="1">
      <w:start w:val="1"/>
      <w:numFmt w:val="decimal"/>
      <w:lvlText w:val="%6."/>
      <w:lvlJc w:val="left"/>
      <w:pPr>
        <w:tabs>
          <w:tab w:val="num" w:pos="4320"/>
        </w:tabs>
        <w:ind w:left="4320" w:hanging="360"/>
      </w:pPr>
    </w:lvl>
    <w:lvl w:ilvl="6" w:tplc="EB84C170" w:tentative="1">
      <w:start w:val="1"/>
      <w:numFmt w:val="decimal"/>
      <w:lvlText w:val="%7."/>
      <w:lvlJc w:val="left"/>
      <w:pPr>
        <w:tabs>
          <w:tab w:val="num" w:pos="5040"/>
        </w:tabs>
        <w:ind w:left="5040" w:hanging="360"/>
      </w:pPr>
    </w:lvl>
    <w:lvl w:ilvl="7" w:tplc="88664F30" w:tentative="1">
      <w:start w:val="1"/>
      <w:numFmt w:val="decimal"/>
      <w:lvlText w:val="%8."/>
      <w:lvlJc w:val="left"/>
      <w:pPr>
        <w:tabs>
          <w:tab w:val="num" w:pos="5760"/>
        </w:tabs>
        <w:ind w:left="5760" w:hanging="360"/>
      </w:pPr>
    </w:lvl>
    <w:lvl w:ilvl="8" w:tplc="3FCCFB74" w:tentative="1">
      <w:start w:val="1"/>
      <w:numFmt w:val="decimal"/>
      <w:lvlText w:val="%9."/>
      <w:lvlJc w:val="left"/>
      <w:pPr>
        <w:tabs>
          <w:tab w:val="num" w:pos="6480"/>
        </w:tabs>
        <w:ind w:left="6480" w:hanging="360"/>
      </w:pPr>
    </w:lvl>
  </w:abstractNum>
  <w:abstractNum w:abstractNumId="20" w15:restartNumberingAfterBreak="0">
    <w:nsid w:val="3DFF1A63"/>
    <w:multiLevelType w:val="hybridMultilevel"/>
    <w:tmpl w:val="88049D90"/>
    <w:lvl w:ilvl="0" w:tplc="30AA6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E0636"/>
    <w:multiLevelType w:val="hybridMultilevel"/>
    <w:tmpl w:val="6B249E2C"/>
    <w:lvl w:ilvl="0" w:tplc="9AB24E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4C304E"/>
    <w:multiLevelType w:val="hybridMultilevel"/>
    <w:tmpl w:val="A0021E44"/>
    <w:lvl w:ilvl="0" w:tplc="5FAA86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CC0368"/>
    <w:multiLevelType w:val="hybridMultilevel"/>
    <w:tmpl w:val="EA627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9C0A12"/>
    <w:multiLevelType w:val="hybridMultilevel"/>
    <w:tmpl w:val="EA88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B24310"/>
    <w:multiLevelType w:val="hybridMultilevel"/>
    <w:tmpl w:val="E74E1CB4"/>
    <w:lvl w:ilvl="0" w:tplc="90581A9C">
      <w:start w:val="1"/>
      <w:numFmt w:val="decimal"/>
      <w:lvlText w:val="%1."/>
      <w:lvlJc w:val="left"/>
      <w:pPr>
        <w:tabs>
          <w:tab w:val="num" w:pos="720"/>
        </w:tabs>
        <w:ind w:left="720" w:hanging="360"/>
      </w:pPr>
    </w:lvl>
    <w:lvl w:ilvl="1" w:tplc="54F0E646" w:tentative="1">
      <w:start w:val="1"/>
      <w:numFmt w:val="decimal"/>
      <w:lvlText w:val="%2."/>
      <w:lvlJc w:val="left"/>
      <w:pPr>
        <w:tabs>
          <w:tab w:val="num" w:pos="1440"/>
        </w:tabs>
        <w:ind w:left="1440" w:hanging="360"/>
      </w:pPr>
    </w:lvl>
    <w:lvl w:ilvl="2" w:tplc="B032E17E" w:tentative="1">
      <w:start w:val="1"/>
      <w:numFmt w:val="decimal"/>
      <w:lvlText w:val="%3."/>
      <w:lvlJc w:val="left"/>
      <w:pPr>
        <w:tabs>
          <w:tab w:val="num" w:pos="2160"/>
        </w:tabs>
        <w:ind w:left="2160" w:hanging="360"/>
      </w:pPr>
    </w:lvl>
    <w:lvl w:ilvl="3" w:tplc="2286B740" w:tentative="1">
      <w:start w:val="1"/>
      <w:numFmt w:val="decimal"/>
      <w:lvlText w:val="%4."/>
      <w:lvlJc w:val="left"/>
      <w:pPr>
        <w:tabs>
          <w:tab w:val="num" w:pos="2880"/>
        </w:tabs>
        <w:ind w:left="2880" w:hanging="360"/>
      </w:pPr>
    </w:lvl>
    <w:lvl w:ilvl="4" w:tplc="A0FEA8CC" w:tentative="1">
      <w:start w:val="1"/>
      <w:numFmt w:val="decimal"/>
      <w:lvlText w:val="%5."/>
      <w:lvlJc w:val="left"/>
      <w:pPr>
        <w:tabs>
          <w:tab w:val="num" w:pos="3600"/>
        </w:tabs>
        <w:ind w:left="3600" w:hanging="360"/>
      </w:pPr>
    </w:lvl>
    <w:lvl w:ilvl="5" w:tplc="24A8A166" w:tentative="1">
      <w:start w:val="1"/>
      <w:numFmt w:val="decimal"/>
      <w:lvlText w:val="%6."/>
      <w:lvlJc w:val="left"/>
      <w:pPr>
        <w:tabs>
          <w:tab w:val="num" w:pos="4320"/>
        </w:tabs>
        <w:ind w:left="4320" w:hanging="360"/>
      </w:pPr>
    </w:lvl>
    <w:lvl w:ilvl="6" w:tplc="5C54771E" w:tentative="1">
      <w:start w:val="1"/>
      <w:numFmt w:val="decimal"/>
      <w:lvlText w:val="%7."/>
      <w:lvlJc w:val="left"/>
      <w:pPr>
        <w:tabs>
          <w:tab w:val="num" w:pos="5040"/>
        </w:tabs>
        <w:ind w:left="5040" w:hanging="360"/>
      </w:pPr>
    </w:lvl>
    <w:lvl w:ilvl="7" w:tplc="2FA2DA46" w:tentative="1">
      <w:start w:val="1"/>
      <w:numFmt w:val="decimal"/>
      <w:lvlText w:val="%8."/>
      <w:lvlJc w:val="left"/>
      <w:pPr>
        <w:tabs>
          <w:tab w:val="num" w:pos="5760"/>
        </w:tabs>
        <w:ind w:left="5760" w:hanging="360"/>
      </w:pPr>
    </w:lvl>
    <w:lvl w:ilvl="8" w:tplc="38B27BDC" w:tentative="1">
      <w:start w:val="1"/>
      <w:numFmt w:val="decimal"/>
      <w:lvlText w:val="%9."/>
      <w:lvlJc w:val="left"/>
      <w:pPr>
        <w:tabs>
          <w:tab w:val="num" w:pos="6480"/>
        </w:tabs>
        <w:ind w:left="6480" w:hanging="360"/>
      </w:pPr>
    </w:lvl>
  </w:abstractNum>
  <w:abstractNum w:abstractNumId="26" w15:restartNumberingAfterBreak="0">
    <w:nsid w:val="576346EE"/>
    <w:multiLevelType w:val="hybridMultilevel"/>
    <w:tmpl w:val="C6148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3F066D"/>
    <w:multiLevelType w:val="hybridMultilevel"/>
    <w:tmpl w:val="75AE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971896"/>
    <w:multiLevelType w:val="hybridMultilevel"/>
    <w:tmpl w:val="B2B0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235108"/>
    <w:multiLevelType w:val="hybridMultilevel"/>
    <w:tmpl w:val="C22CA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9B17CF"/>
    <w:multiLevelType w:val="hybridMultilevel"/>
    <w:tmpl w:val="418C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C1CEE"/>
    <w:multiLevelType w:val="hybridMultilevel"/>
    <w:tmpl w:val="0AA8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070019"/>
    <w:multiLevelType w:val="hybridMultilevel"/>
    <w:tmpl w:val="CD2CAFE6"/>
    <w:lvl w:ilvl="0" w:tplc="B03CA3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52907"/>
    <w:multiLevelType w:val="hybridMultilevel"/>
    <w:tmpl w:val="5C70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686E67"/>
    <w:multiLevelType w:val="hybridMultilevel"/>
    <w:tmpl w:val="6614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1A19AB"/>
    <w:multiLevelType w:val="hybridMultilevel"/>
    <w:tmpl w:val="D108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5204C7"/>
    <w:multiLevelType w:val="hybridMultilevel"/>
    <w:tmpl w:val="E3585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6B2C84"/>
    <w:multiLevelType w:val="hybridMultilevel"/>
    <w:tmpl w:val="0054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7E712A"/>
    <w:multiLevelType w:val="hybridMultilevel"/>
    <w:tmpl w:val="53CC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CD2D6B"/>
    <w:multiLevelType w:val="hybridMultilevel"/>
    <w:tmpl w:val="5E5A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5D0AB3"/>
    <w:multiLevelType w:val="hybridMultilevel"/>
    <w:tmpl w:val="315C1C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E932AC1"/>
    <w:multiLevelType w:val="hybridMultilevel"/>
    <w:tmpl w:val="F856B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36"/>
  </w:num>
  <w:num w:numId="4">
    <w:abstractNumId w:val="5"/>
  </w:num>
  <w:num w:numId="5">
    <w:abstractNumId w:val="10"/>
  </w:num>
  <w:num w:numId="6">
    <w:abstractNumId w:val="27"/>
  </w:num>
  <w:num w:numId="7">
    <w:abstractNumId w:val="30"/>
  </w:num>
  <w:num w:numId="8">
    <w:abstractNumId w:val="17"/>
  </w:num>
  <w:num w:numId="9">
    <w:abstractNumId w:val="23"/>
  </w:num>
  <w:num w:numId="10">
    <w:abstractNumId w:val="6"/>
  </w:num>
  <w:num w:numId="11">
    <w:abstractNumId w:val="38"/>
  </w:num>
  <w:num w:numId="12">
    <w:abstractNumId w:val="2"/>
  </w:num>
  <w:num w:numId="13">
    <w:abstractNumId w:val="3"/>
  </w:num>
  <w:num w:numId="14">
    <w:abstractNumId w:val="31"/>
  </w:num>
  <w:num w:numId="15">
    <w:abstractNumId w:val="39"/>
  </w:num>
  <w:num w:numId="16">
    <w:abstractNumId w:val="35"/>
  </w:num>
  <w:num w:numId="17">
    <w:abstractNumId w:val="29"/>
  </w:num>
  <w:num w:numId="18">
    <w:abstractNumId w:val="37"/>
  </w:num>
  <w:num w:numId="19">
    <w:abstractNumId w:val="41"/>
  </w:num>
  <w:num w:numId="20">
    <w:abstractNumId w:val="12"/>
  </w:num>
  <w:num w:numId="21">
    <w:abstractNumId w:val="13"/>
  </w:num>
  <w:num w:numId="22">
    <w:abstractNumId w:val="14"/>
  </w:num>
  <w:num w:numId="23">
    <w:abstractNumId w:val="22"/>
  </w:num>
  <w:num w:numId="24">
    <w:abstractNumId w:val="18"/>
  </w:num>
  <w:num w:numId="25">
    <w:abstractNumId w:val="11"/>
  </w:num>
  <w:num w:numId="26">
    <w:abstractNumId w:val="4"/>
  </w:num>
  <w:num w:numId="27">
    <w:abstractNumId w:val="16"/>
  </w:num>
  <w:num w:numId="28">
    <w:abstractNumId w:val="33"/>
  </w:num>
  <w:num w:numId="29">
    <w:abstractNumId w:val="21"/>
  </w:num>
  <w:num w:numId="30">
    <w:abstractNumId w:val="9"/>
  </w:num>
  <w:num w:numId="31">
    <w:abstractNumId w:val="34"/>
  </w:num>
  <w:num w:numId="32">
    <w:abstractNumId w:val="7"/>
  </w:num>
  <w:num w:numId="33">
    <w:abstractNumId w:val="8"/>
  </w:num>
  <w:num w:numId="34">
    <w:abstractNumId w:val="32"/>
  </w:num>
  <w:num w:numId="35">
    <w:abstractNumId w:val="20"/>
  </w:num>
  <w:num w:numId="36">
    <w:abstractNumId w:val="0"/>
  </w:num>
  <w:num w:numId="37">
    <w:abstractNumId w:val="24"/>
  </w:num>
  <w:num w:numId="38">
    <w:abstractNumId w:val="1"/>
  </w:num>
  <w:num w:numId="39">
    <w:abstractNumId w:val="40"/>
  </w:num>
  <w:num w:numId="40">
    <w:abstractNumId w:val="26"/>
  </w:num>
  <w:num w:numId="41">
    <w:abstractNumId w:val="25"/>
  </w:num>
  <w:num w:numId="42">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04"/>
    <w:rsid w:val="00000A95"/>
    <w:rsid w:val="00002B5C"/>
    <w:rsid w:val="00003150"/>
    <w:rsid w:val="00007892"/>
    <w:rsid w:val="000155ED"/>
    <w:rsid w:val="00017FD2"/>
    <w:rsid w:val="0003557B"/>
    <w:rsid w:val="00037E6C"/>
    <w:rsid w:val="00040C86"/>
    <w:rsid w:val="0005022C"/>
    <w:rsid w:val="00054B08"/>
    <w:rsid w:val="00056B39"/>
    <w:rsid w:val="00060009"/>
    <w:rsid w:val="0006206D"/>
    <w:rsid w:val="0006368F"/>
    <w:rsid w:val="000728F9"/>
    <w:rsid w:val="0008048F"/>
    <w:rsid w:val="00083D0F"/>
    <w:rsid w:val="000852E3"/>
    <w:rsid w:val="00090950"/>
    <w:rsid w:val="00093A27"/>
    <w:rsid w:val="000972C4"/>
    <w:rsid w:val="000B7594"/>
    <w:rsid w:val="000D5FB2"/>
    <w:rsid w:val="000E0EDA"/>
    <w:rsid w:val="000E1438"/>
    <w:rsid w:val="000E2C83"/>
    <w:rsid w:val="000E7749"/>
    <w:rsid w:val="000F151A"/>
    <w:rsid w:val="000F2A7E"/>
    <w:rsid w:val="001025F4"/>
    <w:rsid w:val="001168FE"/>
    <w:rsid w:val="00117944"/>
    <w:rsid w:val="0012347D"/>
    <w:rsid w:val="001235C7"/>
    <w:rsid w:val="00130AAD"/>
    <w:rsid w:val="00133053"/>
    <w:rsid w:val="00136898"/>
    <w:rsid w:val="00137783"/>
    <w:rsid w:val="001403EC"/>
    <w:rsid w:val="00144026"/>
    <w:rsid w:val="00154542"/>
    <w:rsid w:val="001566BF"/>
    <w:rsid w:val="00164426"/>
    <w:rsid w:val="00164C6C"/>
    <w:rsid w:val="00173A71"/>
    <w:rsid w:val="00174128"/>
    <w:rsid w:val="00174B30"/>
    <w:rsid w:val="00182ED6"/>
    <w:rsid w:val="001857BA"/>
    <w:rsid w:val="00186D59"/>
    <w:rsid w:val="00197C95"/>
    <w:rsid w:val="001A0A6C"/>
    <w:rsid w:val="001B0863"/>
    <w:rsid w:val="001B1BA4"/>
    <w:rsid w:val="001B1E2D"/>
    <w:rsid w:val="001C7036"/>
    <w:rsid w:val="001D2F63"/>
    <w:rsid w:val="001D4D11"/>
    <w:rsid w:val="001D51D8"/>
    <w:rsid w:val="001D7720"/>
    <w:rsid w:val="001D7D01"/>
    <w:rsid w:val="001E0534"/>
    <w:rsid w:val="001E45B6"/>
    <w:rsid w:val="00200E2D"/>
    <w:rsid w:val="00210AFF"/>
    <w:rsid w:val="00215AD3"/>
    <w:rsid w:val="00220632"/>
    <w:rsid w:val="00223BB6"/>
    <w:rsid w:val="002244E1"/>
    <w:rsid w:val="002254F4"/>
    <w:rsid w:val="00225A1B"/>
    <w:rsid w:val="00235EBE"/>
    <w:rsid w:val="002415C7"/>
    <w:rsid w:val="002423E5"/>
    <w:rsid w:val="0024660B"/>
    <w:rsid w:val="00272C18"/>
    <w:rsid w:val="00274811"/>
    <w:rsid w:val="00277C8C"/>
    <w:rsid w:val="00280764"/>
    <w:rsid w:val="002827F0"/>
    <w:rsid w:val="00293ACF"/>
    <w:rsid w:val="00295ECC"/>
    <w:rsid w:val="002A6FC2"/>
    <w:rsid w:val="002B0A24"/>
    <w:rsid w:val="002B204B"/>
    <w:rsid w:val="002B65C6"/>
    <w:rsid w:val="002C7422"/>
    <w:rsid w:val="002D094F"/>
    <w:rsid w:val="002D4A3A"/>
    <w:rsid w:val="002E397C"/>
    <w:rsid w:val="002E3D15"/>
    <w:rsid w:val="002F5DE6"/>
    <w:rsid w:val="002F6E48"/>
    <w:rsid w:val="00311929"/>
    <w:rsid w:val="00322DA0"/>
    <w:rsid w:val="0032376C"/>
    <w:rsid w:val="00324EA7"/>
    <w:rsid w:val="003329BA"/>
    <w:rsid w:val="003475F6"/>
    <w:rsid w:val="00352697"/>
    <w:rsid w:val="00357F4B"/>
    <w:rsid w:val="0036690D"/>
    <w:rsid w:val="003710E7"/>
    <w:rsid w:val="003765AA"/>
    <w:rsid w:val="003839DF"/>
    <w:rsid w:val="0038421A"/>
    <w:rsid w:val="0038496F"/>
    <w:rsid w:val="0038709A"/>
    <w:rsid w:val="003935CB"/>
    <w:rsid w:val="00393B2E"/>
    <w:rsid w:val="003A3529"/>
    <w:rsid w:val="003A6C3F"/>
    <w:rsid w:val="003B44A9"/>
    <w:rsid w:val="003B6095"/>
    <w:rsid w:val="003D2D88"/>
    <w:rsid w:val="003D3FE1"/>
    <w:rsid w:val="003E237A"/>
    <w:rsid w:val="003E6B4B"/>
    <w:rsid w:val="003F4539"/>
    <w:rsid w:val="00416363"/>
    <w:rsid w:val="00422C2B"/>
    <w:rsid w:val="00430D9D"/>
    <w:rsid w:val="004332E5"/>
    <w:rsid w:val="004334B1"/>
    <w:rsid w:val="00436D6D"/>
    <w:rsid w:val="00441CBB"/>
    <w:rsid w:val="00443590"/>
    <w:rsid w:val="00450FCA"/>
    <w:rsid w:val="0045670B"/>
    <w:rsid w:val="0045691E"/>
    <w:rsid w:val="00456EF6"/>
    <w:rsid w:val="004606A7"/>
    <w:rsid w:val="00462A8C"/>
    <w:rsid w:val="00462F67"/>
    <w:rsid w:val="0046325B"/>
    <w:rsid w:val="00467441"/>
    <w:rsid w:val="00467640"/>
    <w:rsid w:val="00467A9C"/>
    <w:rsid w:val="00471426"/>
    <w:rsid w:val="00471F09"/>
    <w:rsid w:val="00481F88"/>
    <w:rsid w:val="00482BFD"/>
    <w:rsid w:val="0048754A"/>
    <w:rsid w:val="0049028C"/>
    <w:rsid w:val="00490FE0"/>
    <w:rsid w:val="004915BD"/>
    <w:rsid w:val="004921B7"/>
    <w:rsid w:val="00497524"/>
    <w:rsid w:val="004A03E9"/>
    <w:rsid w:val="004B48E2"/>
    <w:rsid w:val="004B4DE2"/>
    <w:rsid w:val="004B4ED8"/>
    <w:rsid w:val="004B747D"/>
    <w:rsid w:val="004B772A"/>
    <w:rsid w:val="004C3316"/>
    <w:rsid w:val="004D4433"/>
    <w:rsid w:val="004D621D"/>
    <w:rsid w:val="004D79D8"/>
    <w:rsid w:val="004E40FA"/>
    <w:rsid w:val="004E44BA"/>
    <w:rsid w:val="004E7088"/>
    <w:rsid w:val="004F18ED"/>
    <w:rsid w:val="005001CA"/>
    <w:rsid w:val="00503035"/>
    <w:rsid w:val="00505C08"/>
    <w:rsid w:val="0050749D"/>
    <w:rsid w:val="0051090B"/>
    <w:rsid w:val="00513603"/>
    <w:rsid w:val="005140E0"/>
    <w:rsid w:val="0051792E"/>
    <w:rsid w:val="0052677F"/>
    <w:rsid w:val="00526873"/>
    <w:rsid w:val="00527FC6"/>
    <w:rsid w:val="005329DA"/>
    <w:rsid w:val="005472F1"/>
    <w:rsid w:val="00547613"/>
    <w:rsid w:val="00547BBE"/>
    <w:rsid w:val="00550358"/>
    <w:rsid w:val="00550412"/>
    <w:rsid w:val="005571A5"/>
    <w:rsid w:val="00572370"/>
    <w:rsid w:val="00582137"/>
    <w:rsid w:val="00586512"/>
    <w:rsid w:val="00586EF5"/>
    <w:rsid w:val="0058754B"/>
    <w:rsid w:val="00594EA6"/>
    <w:rsid w:val="005970E3"/>
    <w:rsid w:val="0059787D"/>
    <w:rsid w:val="005A1AC8"/>
    <w:rsid w:val="005B07F8"/>
    <w:rsid w:val="005B18D5"/>
    <w:rsid w:val="005D0DD6"/>
    <w:rsid w:val="005D1A55"/>
    <w:rsid w:val="005E244C"/>
    <w:rsid w:val="005E30B1"/>
    <w:rsid w:val="005F146B"/>
    <w:rsid w:val="00602EE7"/>
    <w:rsid w:val="00604F77"/>
    <w:rsid w:val="00605D55"/>
    <w:rsid w:val="0060799F"/>
    <w:rsid w:val="00610F76"/>
    <w:rsid w:val="006140EF"/>
    <w:rsid w:val="00614EEB"/>
    <w:rsid w:val="00621CFC"/>
    <w:rsid w:val="00623DD6"/>
    <w:rsid w:val="006254AF"/>
    <w:rsid w:val="00632F91"/>
    <w:rsid w:val="00637484"/>
    <w:rsid w:val="006379FC"/>
    <w:rsid w:val="00641152"/>
    <w:rsid w:val="00653FFB"/>
    <w:rsid w:val="00655A8A"/>
    <w:rsid w:val="00666330"/>
    <w:rsid w:val="00670326"/>
    <w:rsid w:val="00674AA7"/>
    <w:rsid w:val="00683020"/>
    <w:rsid w:val="006932F7"/>
    <w:rsid w:val="006A1AFC"/>
    <w:rsid w:val="006A4FBF"/>
    <w:rsid w:val="006A7010"/>
    <w:rsid w:val="006A7115"/>
    <w:rsid w:val="006A7D5A"/>
    <w:rsid w:val="006B44F3"/>
    <w:rsid w:val="006C0B68"/>
    <w:rsid w:val="006C268B"/>
    <w:rsid w:val="006C6200"/>
    <w:rsid w:val="006D139C"/>
    <w:rsid w:val="006D5AF4"/>
    <w:rsid w:val="006D7CBB"/>
    <w:rsid w:val="006E0877"/>
    <w:rsid w:val="006E5127"/>
    <w:rsid w:val="006F419D"/>
    <w:rsid w:val="00707864"/>
    <w:rsid w:val="00710AF5"/>
    <w:rsid w:val="00710B48"/>
    <w:rsid w:val="00712470"/>
    <w:rsid w:val="007134D3"/>
    <w:rsid w:val="00714A8D"/>
    <w:rsid w:val="007173AD"/>
    <w:rsid w:val="0071787D"/>
    <w:rsid w:val="00717C03"/>
    <w:rsid w:val="00723EA1"/>
    <w:rsid w:val="0073201B"/>
    <w:rsid w:val="007348B2"/>
    <w:rsid w:val="00745DB0"/>
    <w:rsid w:val="007639E4"/>
    <w:rsid w:val="007651C7"/>
    <w:rsid w:val="007655E7"/>
    <w:rsid w:val="007657FF"/>
    <w:rsid w:val="00772240"/>
    <w:rsid w:val="007726F8"/>
    <w:rsid w:val="007730E4"/>
    <w:rsid w:val="00774C3A"/>
    <w:rsid w:val="00782341"/>
    <w:rsid w:val="007959BE"/>
    <w:rsid w:val="007A386B"/>
    <w:rsid w:val="007C2C05"/>
    <w:rsid w:val="007C3EAB"/>
    <w:rsid w:val="007C5192"/>
    <w:rsid w:val="007D0573"/>
    <w:rsid w:val="007D5234"/>
    <w:rsid w:val="007D75C7"/>
    <w:rsid w:val="007E0E19"/>
    <w:rsid w:val="007E2A6A"/>
    <w:rsid w:val="007E40F0"/>
    <w:rsid w:val="007E5358"/>
    <w:rsid w:val="007F5529"/>
    <w:rsid w:val="0080301C"/>
    <w:rsid w:val="0080510E"/>
    <w:rsid w:val="00811A25"/>
    <w:rsid w:val="008167C2"/>
    <w:rsid w:val="0082267A"/>
    <w:rsid w:val="008231E7"/>
    <w:rsid w:val="00823CC1"/>
    <w:rsid w:val="00834A1A"/>
    <w:rsid w:val="00841C28"/>
    <w:rsid w:val="00846425"/>
    <w:rsid w:val="00852FA2"/>
    <w:rsid w:val="008553BE"/>
    <w:rsid w:val="00866A67"/>
    <w:rsid w:val="00883933"/>
    <w:rsid w:val="00885582"/>
    <w:rsid w:val="0088778F"/>
    <w:rsid w:val="008A183A"/>
    <w:rsid w:val="008B3E85"/>
    <w:rsid w:val="008C4E7A"/>
    <w:rsid w:val="008C5E71"/>
    <w:rsid w:val="008D4499"/>
    <w:rsid w:val="008E14EE"/>
    <w:rsid w:val="008E1FCC"/>
    <w:rsid w:val="00903A05"/>
    <w:rsid w:val="009044A7"/>
    <w:rsid w:val="00905CDD"/>
    <w:rsid w:val="00906A21"/>
    <w:rsid w:val="009079A1"/>
    <w:rsid w:val="009149B4"/>
    <w:rsid w:val="00916130"/>
    <w:rsid w:val="009178FF"/>
    <w:rsid w:val="009203BA"/>
    <w:rsid w:val="00920E43"/>
    <w:rsid w:val="00921B2E"/>
    <w:rsid w:val="00927FD4"/>
    <w:rsid w:val="00932C8A"/>
    <w:rsid w:val="00935647"/>
    <w:rsid w:val="009375E9"/>
    <w:rsid w:val="00941673"/>
    <w:rsid w:val="00944E33"/>
    <w:rsid w:val="00952E1E"/>
    <w:rsid w:val="0095767F"/>
    <w:rsid w:val="00961C48"/>
    <w:rsid w:val="00963D57"/>
    <w:rsid w:val="0096471A"/>
    <w:rsid w:val="00981143"/>
    <w:rsid w:val="00983D80"/>
    <w:rsid w:val="00985FA1"/>
    <w:rsid w:val="00992E68"/>
    <w:rsid w:val="00996E07"/>
    <w:rsid w:val="009A0892"/>
    <w:rsid w:val="009B0D7A"/>
    <w:rsid w:val="009B3D0C"/>
    <w:rsid w:val="009B4613"/>
    <w:rsid w:val="009C02EB"/>
    <w:rsid w:val="009C3C90"/>
    <w:rsid w:val="009C4A22"/>
    <w:rsid w:val="009C6F75"/>
    <w:rsid w:val="009D0A04"/>
    <w:rsid w:val="009D4E2E"/>
    <w:rsid w:val="009E5A09"/>
    <w:rsid w:val="009F3DC7"/>
    <w:rsid w:val="00A04BD7"/>
    <w:rsid w:val="00A07FC0"/>
    <w:rsid w:val="00A10DAC"/>
    <w:rsid w:val="00A11495"/>
    <w:rsid w:val="00A215E8"/>
    <w:rsid w:val="00A2558C"/>
    <w:rsid w:val="00A30C95"/>
    <w:rsid w:val="00A35A20"/>
    <w:rsid w:val="00A365EA"/>
    <w:rsid w:val="00A43F8D"/>
    <w:rsid w:val="00A5622B"/>
    <w:rsid w:val="00A65804"/>
    <w:rsid w:val="00A70180"/>
    <w:rsid w:val="00A749DE"/>
    <w:rsid w:val="00A7588F"/>
    <w:rsid w:val="00A81AA8"/>
    <w:rsid w:val="00A924F7"/>
    <w:rsid w:val="00A94CB3"/>
    <w:rsid w:val="00AA4D7C"/>
    <w:rsid w:val="00AB47CA"/>
    <w:rsid w:val="00AC1728"/>
    <w:rsid w:val="00AC32AB"/>
    <w:rsid w:val="00AD0E7B"/>
    <w:rsid w:val="00AD50E9"/>
    <w:rsid w:val="00AE0657"/>
    <w:rsid w:val="00AE0A51"/>
    <w:rsid w:val="00AE2F2E"/>
    <w:rsid w:val="00AF07A8"/>
    <w:rsid w:val="00AF1804"/>
    <w:rsid w:val="00B0396A"/>
    <w:rsid w:val="00B04788"/>
    <w:rsid w:val="00B059FF"/>
    <w:rsid w:val="00B063D6"/>
    <w:rsid w:val="00B1208D"/>
    <w:rsid w:val="00B14C6A"/>
    <w:rsid w:val="00B14EC5"/>
    <w:rsid w:val="00B171C3"/>
    <w:rsid w:val="00B34D22"/>
    <w:rsid w:val="00B379AB"/>
    <w:rsid w:val="00B4092A"/>
    <w:rsid w:val="00B40A23"/>
    <w:rsid w:val="00B40D2C"/>
    <w:rsid w:val="00B4788A"/>
    <w:rsid w:val="00B50E14"/>
    <w:rsid w:val="00B6031B"/>
    <w:rsid w:val="00B608EA"/>
    <w:rsid w:val="00B60A46"/>
    <w:rsid w:val="00B623B1"/>
    <w:rsid w:val="00B6731C"/>
    <w:rsid w:val="00B70D1B"/>
    <w:rsid w:val="00B70E31"/>
    <w:rsid w:val="00B77860"/>
    <w:rsid w:val="00B80F49"/>
    <w:rsid w:val="00B82BAB"/>
    <w:rsid w:val="00B85B1B"/>
    <w:rsid w:val="00B92DDF"/>
    <w:rsid w:val="00BA07A0"/>
    <w:rsid w:val="00BA49F6"/>
    <w:rsid w:val="00BA5462"/>
    <w:rsid w:val="00BA7301"/>
    <w:rsid w:val="00BA7A9E"/>
    <w:rsid w:val="00BC09AA"/>
    <w:rsid w:val="00BC2126"/>
    <w:rsid w:val="00BD0A92"/>
    <w:rsid w:val="00BE42A9"/>
    <w:rsid w:val="00BE5A67"/>
    <w:rsid w:val="00BE5B54"/>
    <w:rsid w:val="00BF5A5B"/>
    <w:rsid w:val="00C0301D"/>
    <w:rsid w:val="00C215CE"/>
    <w:rsid w:val="00C24D4E"/>
    <w:rsid w:val="00C3542A"/>
    <w:rsid w:val="00C37AFE"/>
    <w:rsid w:val="00C40A69"/>
    <w:rsid w:val="00C4336A"/>
    <w:rsid w:val="00C438CE"/>
    <w:rsid w:val="00C610B0"/>
    <w:rsid w:val="00C633F5"/>
    <w:rsid w:val="00C651D4"/>
    <w:rsid w:val="00C7332C"/>
    <w:rsid w:val="00C743D3"/>
    <w:rsid w:val="00C80F3C"/>
    <w:rsid w:val="00C82089"/>
    <w:rsid w:val="00C8239D"/>
    <w:rsid w:val="00C9108E"/>
    <w:rsid w:val="00CB25F1"/>
    <w:rsid w:val="00CB5255"/>
    <w:rsid w:val="00CC0844"/>
    <w:rsid w:val="00CD2D96"/>
    <w:rsid w:val="00CE099D"/>
    <w:rsid w:val="00CE423F"/>
    <w:rsid w:val="00CE7C40"/>
    <w:rsid w:val="00D10E78"/>
    <w:rsid w:val="00D1302E"/>
    <w:rsid w:val="00D13C35"/>
    <w:rsid w:val="00D20E34"/>
    <w:rsid w:val="00D338DE"/>
    <w:rsid w:val="00D36223"/>
    <w:rsid w:val="00D41D0F"/>
    <w:rsid w:val="00D46863"/>
    <w:rsid w:val="00D50E74"/>
    <w:rsid w:val="00D55ED7"/>
    <w:rsid w:val="00D57C35"/>
    <w:rsid w:val="00D67D1B"/>
    <w:rsid w:val="00D7263F"/>
    <w:rsid w:val="00D81AF5"/>
    <w:rsid w:val="00D86716"/>
    <w:rsid w:val="00D90A1F"/>
    <w:rsid w:val="00D91B4D"/>
    <w:rsid w:val="00DA4AC8"/>
    <w:rsid w:val="00DA77A7"/>
    <w:rsid w:val="00DB05F1"/>
    <w:rsid w:val="00DB40C8"/>
    <w:rsid w:val="00DB6B21"/>
    <w:rsid w:val="00DD3734"/>
    <w:rsid w:val="00DD54AA"/>
    <w:rsid w:val="00DD6C87"/>
    <w:rsid w:val="00DD7025"/>
    <w:rsid w:val="00DE29E5"/>
    <w:rsid w:val="00DE652C"/>
    <w:rsid w:val="00DE7E93"/>
    <w:rsid w:val="00DF0940"/>
    <w:rsid w:val="00DF0F84"/>
    <w:rsid w:val="00DF308D"/>
    <w:rsid w:val="00E027B1"/>
    <w:rsid w:val="00E1165E"/>
    <w:rsid w:val="00E160F8"/>
    <w:rsid w:val="00E23EFD"/>
    <w:rsid w:val="00E241B1"/>
    <w:rsid w:val="00E274E0"/>
    <w:rsid w:val="00E30FCE"/>
    <w:rsid w:val="00E361FC"/>
    <w:rsid w:val="00E438AA"/>
    <w:rsid w:val="00E449A1"/>
    <w:rsid w:val="00E46749"/>
    <w:rsid w:val="00E52D9E"/>
    <w:rsid w:val="00E530D0"/>
    <w:rsid w:val="00E53105"/>
    <w:rsid w:val="00E550A2"/>
    <w:rsid w:val="00E61FDC"/>
    <w:rsid w:val="00E63B14"/>
    <w:rsid w:val="00E651DE"/>
    <w:rsid w:val="00E6572F"/>
    <w:rsid w:val="00E6628F"/>
    <w:rsid w:val="00E669A2"/>
    <w:rsid w:val="00E67B3A"/>
    <w:rsid w:val="00E76F96"/>
    <w:rsid w:val="00E8158E"/>
    <w:rsid w:val="00E87586"/>
    <w:rsid w:val="00E9543E"/>
    <w:rsid w:val="00E95B2B"/>
    <w:rsid w:val="00EA7286"/>
    <w:rsid w:val="00EB0017"/>
    <w:rsid w:val="00EB0A66"/>
    <w:rsid w:val="00EB1721"/>
    <w:rsid w:val="00EB65C4"/>
    <w:rsid w:val="00EC07D5"/>
    <w:rsid w:val="00EC2EF7"/>
    <w:rsid w:val="00ED09DA"/>
    <w:rsid w:val="00ED2873"/>
    <w:rsid w:val="00ED41B9"/>
    <w:rsid w:val="00ED4B06"/>
    <w:rsid w:val="00EE4D11"/>
    <w:rsid w:val="00EF01B4"/>
    <w:rsid w:val="00EF2883"/>
    <w:rsid w:val="00EF52D3"/>
    <w:rsid w:val="00EF5F55"/>
    <w:rsid w:val="00F00BC2"/>
    <w:rsid w:val="00F04DF1"/>
    <w:rsid w:val="00F052C1"/>
    <w:rsid w:val="00F108CA"/>
    <w:rsid w:val="00F24C3C"/>
    <w:rsid w:val="00F26D2C"/>
    <w:rsid w:val="00F3420D"/>
    <w:rsid w:val="00F37481"/>
    <w:rsid w:val="00F44C08"/>
    <w:rsid w:val="00F52178"/>
    <w:rsid w:val="00F53F68"/>
    <w:rsid w:val="00F54207"/>
    <w:rsid w:val="00F61F08"/>
    <w:rsid w:val="00F63537"/>
    <w:rsid w:val="00F71F20"/>
    <w:rsid w:val="00F76A0C"/>
    <w:rsid w:val="00F80712"/>
    <w:rsid w:val="00FA227F"/>
    <w:rsid w:val="00FA5A78"/>
    <w:rsid w:val="00FA7FC9"/>
    <w:rsid w:val="00FC02A7"/>
    <w:rsid w:val="00FC14A2"/>
    <w:rsid w:val="00FC245C"/>
    <w:rsid w:val="00FC2A2F"/>
    <w:rsid w:val="00FC504B"/>
    <w:rsid w:val="00FD0ABA"/>
    <w:rsid w:val="00FD2D5C"/>
    <w:rsid w:val="00FD3E47"/>
    <w:rsid w:val="00FE32C3"/>
    <w:rsid w:val="00FE57D4"/>
    <w:rsid w:val="00FF0C40"/>
    <w:rsid w:val="00FF255A"/>
    <w:rsid w:val="00FF4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ED66"/>
  <w15:docId w15:val="{3F8E5CA5-5DC6-41CE-B288-F7D0A92F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1804"/>
    <w:rPr>
      <w:rFonts w:ascii="Calibri" w:eastAsia="Calibri" w:hAnsi="Calibri" w:cs="Times New Roman"/>
    </w:rPr>
  </w:style>
  <w:style w:type="paragraph" w:styleId="Heading1">
    <w:name w:val="heading 1"/>
    <w:basedOn w:val="Normal"/>
    <w:next w:val="Normal"/>
    <w:link w:val="Heading1Char"/>
    <w:uiPriority w:val="9"/>
    <w:qFormat/>
    <w:rsid w:val="00F24C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741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741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2347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180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AF1804"/>
    <w:rPr>
      <w:color w:val="0000FF" w:themeColor="hyperlink"/>
      <w:u w:val="single"/>
    </w:rPr>
  </w:style>
  <w:style w:type="paragraph" w:styleId="Footer">
    <w:name w:val="footer"/>
    <w:basedOn w:val="Normal"/>
    <w:link w:val="FooterChar"/>
    <w:uiPriority w:val="99"/>
    <w:unhideWhenUsed/>
    <w:rsid w:val="00AF1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804"/>
    <w:rPr>
      <w:rFonts w:ascii="Calibri" w:eastAsia="Calibri" w:hAnsi="Calibri" w:cs="Times New Roman"/>
    </w:rPr>
  </w:style>
  <w:style w:type="character" w:customStyle="1" w:styleId="apple-tab-span">
    <w:name w:val="apple-tab-span"/>
    <w:basedOn w:val="DefaultParagraphFont"/>
    <w:rsid w:val="00AF1804"/>
  </w:style>
  <w:style w:type="paragraph" w:styleId="BalloonText">
    <w:name w:val="Balloon Text"/>
    <w:basedOn w:val="Normal"/>
    <w:link w:val="BalloonTextChar"/>
    <w:uiPriority w:val="99"/>
    <w:semiHidden/>
    <w:unhideWhenUsed/>
    <w:rsid w:val="00852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FA2"/>
    <w:rPr>
      <w:rFonts w:ascii="Tahoma" w:eastAsia="Calibri" w:hAnsi="Tahoma" w:cs="Tahoma"/>
      <w:sz w:val="16"/>
      <w:szCs w:val="16"/>
    </w:rPr>
  </w:style>
  <w:style w:type="table" w:styleId="TableGrid">
    <w:name w:val="Table Grid"/>
    <w:basedOn w:val="TableNormal"/>
    <w:uiPriority w:val="59"/>
    <w:rsid w:val="00F05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052C1"/>
    <w:pPr>
      <w:spacing w:after="0" w:line="240" w:lineRule="auto"/>
      <w:ind w:right="432"/>
      <w:jc w:val="center"/>
    </w:pPr>
    <w:rPr>
      <w:rFonts w:ascii="Arial" w:eastAsia="Times New Roman" w:hAnsi="Arial"/>
      <w:b/>
      <w:sz w:val="18"/>
      <w:szCs w:val="20"/>
    </w:rPr>
  </w:style>
  <w:style w:type="character" w:customStyle="1" w:styleId="TitleChar">
    <w:name w:val="Title Char"/>
    <w:basedOn w:val="DefaultParagraphFont"/>
    <w:link w:val="Title"/>
    <w:rsid w:val="00F052C1"/>
    <w:rPr>
      <w:rFonts w:ascii="Arial" w:eastAsia="Times New Roman" w:hAnsi="Arial" w:cs="Times New Roman"/>
      <w:b/>
      <w:sz w:val="18"/>
      <w:szCs w:val="20"/>
    </w:rPr>
  </w:style>
  <w:style w:type="paragraph" w:styleId="ListParagraph">
    <w:name w:val="List Paragraph"/>
    <w:basedOn w:val="Normal"/>
    <w:uiPriority w:val="34"/>
    <w:qFormat/>
    <w:rsid w:val="00060009"/>
    <w:pPr>
      <w:ind w:left="720"/>
      <w:contextualSpacing/>
    </w:pPr>
  </w:style>
  <w:style w:type="paragraph" w:styleId="Header">
    <w:name w:val="header"/>
    <w:basedOn w:val="Normal"/>
    <w:link w:val="HeaderChar"/>
    <w:uiPriority w:val="99"/>
    <w:unhideWhenUsed/>
    <w:rsid w:val="00E66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9A2"/>
    <w:rPr>
      <w:rFonts w:ascii="Calibri" w:eastAsia="Calibri" w:hAnsi="Calibri" w:cs="Times New Roman"/>
    </w:rPr>
  </w:style>
  <w:style w:type="character" w:customStyle="1" w:styleId="UnresolvedMention1">
    <w:name w:val="Unresolved Mention1"/>
    <w:basedOn w:val="DefaultParagraphFont"/>
    <w:uiPriority w:val="99"/>
    <w:semiHidden/>
    <w:unhideWhenUsed/>
    <w:rsid w:val="00641152"/>
    <w:rPr>
      <w:color w:val="605E5C"/>
      <w:shd w:val="clear" w:color="auto" w:fill="E1DFDD"/>
    </w:rPr>
  </w:style>
  <w:style w:type="character" w:styleId="FollowedHyperlink">
    <w:name w:val="FollowedHyperlink"/>
    <w:basedOn w:val="DefaultParagraphFont"/>
    <w:uiPriority w:val="99"/>
    <w:semiHidden/>
    <w:unhideWhenUsed/>
    <w:rsid w:val="000E1438"/>
    <w:rPr>
      <w:color w:val="800080" w:themeColor="followedHyperlink"/>
      <w:u w:val="single"/>
    </w:rPr>
  </w:style>
  <w:style w:type="character" w:styleId="UnresolvedMention">
    <w:name w:val="Unresolved Mention"/>
    <w:basedOn w:val="DefaultParagraphFont"/>
    <w:uiPriority w:val="99"/>
    <w:semiHidden/>
    <w:unhideWhenUsed/>
    <w:rsid w:val="00083D0F"/>
    <w:rPr>
      <w:color w:val="605E5C"/>
      <w:shd w:val="clear" w:color="auto" w:fill="E1DFDD"/>
    </w:rPr>
  </w:style>
  <w:style w:type="paragraph" w:styleId="EndnoteText">
    <w:name w:val="endnote text"/>
    <w:basedOn w:val="Normal"/>
    <w:link w:val="EndnoteTextChar"/>
    <w:uiPriority w:val="99"/>
    <w:unhideWhenUsed/>
    <w:rsid w:val="00223BB6"/>
    <w:pPr>
      <w:spacing w:after="0" w:line="240" w:lineRule="auto"/>
    </w:pPr>
    <w:rPr>
      <w:sz w:val="20"/>
      <w:szCs w:val="20"/>
      <w:lang w:val="x-none" w:eastAsia="x-none"/>
    </w:rPr>
  </w:style>
  <w:style w:type="character" w:customStyle="1" w:styleId="EndnoteTextChar">
    <w:name w:val="Endnote Text Char"/>
    <w:basedOn w:val="DefaultParagraphFont"/>
    <w:link w:val="EndnoteText"/>
    <w:uiPriority w:val="99"/>
    <w:rsid w:val="00223BB6"/>
    <w:rPr>
      <w:rFonts w:ascii="Calibri" w:eastAsia="Calibri" w:hAnsi="Calibri" w:cs="Times New Roman"/>
      <w:sz w:val="20"/>
      <w:szCs w:val="20"/>
      <w:lang w:val="x-none" w:eastAsia="x-none"/>
    </w:rPr>
  </w:style>
  <w:style w:type="character" w:styleId="EndnoteReference">
    <w:name w:val="endnote reference"/>
    <w:uiPriority w:val="99"/>
    <w:semiHidden/>
    <w:unhideWhenUsed/>
    <w:rsid w:val="00223BB6"/>
    <w:rPr>
      <w:vertAlign w:val="superscript"/>
    </w:rPr>
  </w:style>
  <w:style w:type="table" w:styleId="GridTable4-Accent3">
    <w:name w:val="Grid Table 4 Accent 3"/>
    <w:basedOn w:val="TableNormal"/>
    <w:uiPriority w:val="49"/>
    <w:rsid w:val="00C3542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Strong">
    <w:name w:val="Strong"/>
    <w:basedOn w:val="DefaultParagraphFont"/>
    <w:uiPriority w:val="22"/>
    <w:qFormat/>
    <w:rsid w:val="007657FF"/>
    <w:rPr>
      <w:b/>
      <w:bCs/>
    </w:rPr>
  </w:style>
  <w:style w:type="character" w:customStyle="1" w:styleId="inlinep">
    <w:name w:val="inlinep"/>
    <w:basedOn w:val="DefaultParagraphFont"/>
    <w:rsid w:val="007657FF"/>
  </w:style>
  <w:style w:type="character" w:styleId="Emphasis">
    <w:name w:val="Emphasis"/>
    <w:basedOn w:val="DefaultParagraphFont"/>
    <w:uiPriority w:val="20"/>
    <w:qFormat/>
    <w:rsid w:val="007657FF"/>
    <w:rPr>
      <w:i/>
      <w:iCs/>
    </w:rPr>
  </w:style>
  <w:style w:type="paragraph" w:customStyle="1" w:styleId="inlinehd">
    <w:name w:val="inlinehd"/>
    <w:basedOn w:val="Normal"/>
    <w:rsid w:val="006140EF"/>
    <w:pPr>
      <w:spacing w:before="100" w:beforeAutospacing="1" w:after="100" w:afterAutospacing="1" w:line="240" w:lineRule="auto"/>
    </w:pPr>
    <w:rPr>
      <w:rFonts w:ascii="Times New Roman" w:eastAsia="Times New Roman" w:hAnsi="Times New Roman"/>
      <w:sz w:val="24"/>
      <w:szCs w:val="24"/>
    </w:rPr>
  </w:style>
  <w:style w:type="character" w:customStyle="1" w:styleId="footnote">
    <w:name w:val="footnote"/>
    <w:basedOn w:val="DefaultParagraphFont"/>
    <w:rsid w:val="00DE652C"/>
  </w:style>
  <w:style w:type="character" w:customStyle="1" w:styleId="o-regulations-wayfindersection-title">
    <w:name w:val="o-regulations-wayfinder_section-title"/>
    <w:basedOn w:val="DefaultParagraphFont"/>
    <w:rsid w:val="00C7332C"/>
  </w:style>
  <w:style w:type="character" w:customStyle="1" w:styleId="o-regulations-wayfindermarker">
    <w:name w:val="o-regulations-wayfinder_marker"/>
    <w:basedOn w:val="DefaultParagraphFont"/>
    <w:rsid w:val="00C7332C"/>
  </w:style>
  <w:style w:type="character" w:styleId="FootnoteReference">
    <w:name w:val="footnote reference"/>
    <w:basedOn w:val="DefaultParagraphFont"/>
    <w:uiPriority w:val="99"/>
    <w:semiHidden/>
    <w:unhideWhenUsed/>
    <w:rsid w:val="00EF5F55"/>
  </w:style>
  <w:style w:type="character" w:customStyle="1" w:styleId="a-linktext">
    <w:name w:val="a-link_text"/>
    <w:basedOn w:val="DefaultParagraphFont"/>
    <w:rsid w:val="0008048F"/>
  </w:style>
  <w:style w:type="character" w:customStyle="1" w:styleId="apple-style-span">
    <w:name w:val="apple-style-span"/>
    <w:basedOn w:val="DefaultParagraphFont"/>
    <w:rsid w:val="0049028C"/>
  </w:style>
  <w:style w:type="character" w:customStyle="1" w:styleId="Heading1Char">
    <w:name w:val="Heading 1 Char"/>
    <w:basedOn w:val="DefaultParagraphFont"/>
    <w:link w:val="Heading1"/>
    <w:uiPriority w:val="9"/>
    <w:rsid w:val="00F24C3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24C3C"/>
    <w:pPr>
      <w:spacing w:line="259" w:lineRule="auto"/>
      <w:outlineLvl w:val="9"/>
    </w:pPr>
  </w:style>
  <w:style w:type="character" w:customStyle="1" w:styleId="Heading2Char">
    <w:name w:val="Heading 2 Char"/>
    <w:basedOn w:val="DefaultParagraphFont"/>
    <w:link w:val="Heading2"/>
    <w:uiPriority w:val="9"/>
    <w:semiHidden/>
    <w:rsid w:val="0017412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74128"/>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1857BA"/>
    <w:pPr>
      <w:spacing w:after="100"/>
    </w:pPr>
  </w:style>
  <w:style w:type="paragraph" w:styleId="TOC2">
    <w:name w:val="toc 2"/>
    <w:basedOn w:val="Normal"/>
    <w:next w:val="Normal"/>
    <w:autoRedefine/>
    <w:uiPriority w:val="39"/>
    <w:unhideWhenUsed/>
    <w:rsid w:val="00594EA6"/>
    <w:pPr>
      <w:tabs>
        <w:tab w:val="right" w:leader="dot" w:pos="9350"/>
      </w:tabs>
      <w:spacing w:after="100"/>
      <w:ind w:left="220"/>
    </w:pPr>
    <w:rPr>
      <w:rFonts w:ascii="Arial Narrow" w:hAnsi="Arial Narrow"/>
      <w:b/>
      <w:bCs/>
      <w:noProof/>
    </w:rPr>
  </w:style>
  <w:style w:type="paragraph" w:styleId="TOC3">
    <w:name w:val="toc 3"/>
    <w:basedOn w:val="Normal"/>
    <w:next w:val="Normal"/>
    <w:autoRedefine/>
    <w:uiPriority w:val="39"/>
    <w:unhideWhenUsed/>
    <w:rsid w:val="001857BA"/>
    <w:pPr>
      <w:spacing w:after="100"/>
      <w:ind w:left="440"/>
    </w:pPr>
  </w:style>
  <w:style w:type="character" w:customStyle="1" w:styleId="Heading4Char">
    <w:name w:val="Heading 4 Char"/>
    <w:basedOn w:val="DefaultParagraphFont"/>
    <w:link w:val="Heading4"/>
    <w:uiPriority w:val="9"/>
    <w:semiHidden/>
    <w:rsid w:val="0012347D"/>
    <w:rPr>
      <w:rFonts w:asciiTheme="majorHAnsi" w:eastAsiaTheme="majorEastAsia" w:hAnsiTheme="majorHAnsi" w:cstheme="majorBidi"/>
      <w:i/>
      <w:iCs/>
      <w:color w:val="365F91" w:themeColor="accent1" w:themeShade="BF"/>
    </w:rPr>
  </w:style>
  <w:style w:type="paragraph" w:customStyle="1" w:styleId="lbexindentsubpar">
    <w:name w:val="lbexindentsubpar"/>
    <w:basedOn w:val="Normal"/>
    <w:rsid w:val="0071787D"/>
    <w:pPr>
      <w:spacing w:before="100" w:beforeAutospacing="1" w:after="100" w:afterAutospacing="1" w:line="240" w:lineRule="auto"/>
    </w:pPr>
    <w:rPr>
      <w:rFonts w:ascii="Times New Roman" w:eastAsia="Times New Roman" w:hAnsi="Times New Roman"/>
      <w:sz w:val="24"/>
      <w:szCs w:val="24"/>
    </w:rPr>
  </w:style>
  <w:style w:type="paragraph" w:customStyle="1" w:styleId="lbexindentclause">
    <w:name w:val="lbexindentclause"/>
    <w:basedOn w:val="Normal"/>
    <w:rsid w:val="0071787D"/>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basedOn w:val="Normal"/>
    <w:rsid w:val="007639E4"/>
    <w:pPr>
      <w:autoSpaceDE w:val="0"/>
      <w:autoSpaceDN w:val="0"/>
      <w:spacing w:after="0" w:line="240" w:lineRule="auto"/>
    </w:pPr>
    <w:rPr>
      <w:rFonts w:eastAsiaTheme="minorHAnsi" w:cs="Calibri"/>
      <w:color w:val="000000"/>
      <w:sz w:val="24"/>
      <w:szCs w:val="24"/>
    </w:rPr>
  </w:style>
  <w:style w:type="paragraph" w:customStyle="1" w:styleId="regdown-block">
    <w:name w:val="regdown-block"/>
    <w:basedOn w:val="Normal"/>
    <w:rsid w:val="0038421A"/>
    <w:pPr>
      <w:spacing w:before="100" w:beforeAutospacing="1" w:after="100" w:afterAutospacing="1" w:line="240" w:lineRule="auto"/>
    </w:pPr>
    <w:rPr>
      <w:rFonts w:ascii="Times New Roman" w:eastAsia="Times New Roman" w:hAnsi="Times New Roman"/>
      <w:sz w:val="24"/>
      <w:szCs w:val="24"/>
    </w:rPr>
  </w:style>
  <w:style w:type="character" w:customStyle="1" w:styleId="o-expandableheader-left">
    <w:name w:val="o-expandable_header-left"/>
    <w:basedOn w:val="DefaultParagraphFont"/>
    <w:rsid w:val="0038421A"/>
  </w:style>
  <w:style w:type="character" w:customStyle="1" w:styleId="u-visually-hidden-on-mobile">
    <w:name w:val="u-visually-hidden-on-mobile"/>
    <w:basedOn w:val="DefaultParagraphFont"/>
    <w:rsid w:val="00384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81">
      <w:bodyDiv w:val="1"/>
      <w:marLeft w:val="0"/>
      <w:marRight w:val="0"/>
      <w:marTop w:val="0"/>
      <w:marBottom w:val="0"/>
      <w:divBdr>
        <w:top w:val="none" w:sz="0" w:space="0" w:color="auto"/>
        <w:left w:val="none" w:sz="0" w:space="0" w:color="auto"/>
        <w:bottom w:val="none" w:sz="0" w:space="0" w:color="auto"/>
        <w:right w:val="none" w:sz="0" w:space="0" w:color="auto"/>
      </w:divBdr>
    </w:div>
    <w:div w:id="14307268">
      <w:bodyDiv w:val="1"/>
      <w:marLeft w:val="0"/>
      <w:marRight w:val="0"/>
      <w:marTop w:val="0"/>
      <w:marBottom w:val="0"/>
      <w:divBdr>
        <w:top w:val="none" w:sz="0" w:space="0" w:color="auto"/>
        <w:left w:val="none" w:sz="0" w:space="0" w:color="auto"/>
        <w:bottom w:val="none" w:sz="0" w:space="0" w:color="auto"/>
        <w:right w:val="none" w:sz="0" w:space="0" w:color="auto"/>
      </w:divBdr>
    </w:div>
    <w:div w:id="24409289">
      <w:bodyDiv w:val="1"/>
      <w:marLeft w:val="0"/>
      <w:marRight w:val="0"/>
      <w:marTop w:val="0"/>
      <w:marBottom w:val="0"/>
      <w:divBdr>
        <w:top w:val="none" w:sz="0" w:space="0" w:color="auto"/>
        <w:left w:val="none" w:sz="0" w:space="0" w:color="auto"/>
        <w:bottom w:val="none" w:sz="0" w:space="0" w:color="auto"/>
        <w:right w:val="none" w:sz="0" w:space="0" w:color="auto"/>
      </w:divBdr>
    </w:div>
    <w:div w:id="27797899">
      <w:bodyDiv w:val="1"/>
      <w:marLeft w:val="0"/>
      <w:marRight w:val="0"/>
      <w:marTop w:val="0"/>
      <w:marBottom w:val="0"/>
      <w:divBdr>
        <w:top w:val="none" w:sz="0" w:space="0" w:color="auto"/>
        <w:left w:val="none" w:sz="0" w:space="0" w:color="auto"/>
        <w:bottom w:val="none" w:sz="0" w:space="0" w:color="auto"/>
        <w:right w:val="none" w:sz="0" w:space="0" w:color="auto"/>
      </w:divBdr>
    </w:div>
    <w:div w:id="37635343">
      <w:bodyDiv w:val="1"/>
      <w:marLeft w:val="0"/>
      <w:marRight w:val="0"/>
      <w:marTop w:val="0"/>
      <w:marBottom w:val="0"/>
      <w:divBdr>
        <w:top w:val="none" w:sz="0" w:space="0" w:color="auto"/>
        <w:left w:val="none" w:sz="0" w:space="0" w:color="auto"/>
        <w:bottom w:val="none" w:sz="0" w:space="0" w:color="auto"/>
        <w:right w:val="none" w:sz="0" w:space="0" w:color="auto"/>
      </w:divBdr>
      <w:divsChild>
        <w:div w:id="982808342">
          <w:marLeft w:val="0"/>
          <w:marRight w:val="0"/>
          <w:marTop w:val="0"/>
          <w:marBottom w:val="0"/>
          <w:divBdr>
            <w:top w:val="none" w:sz="0" w:space="0" w:color="auto"/>
            <w:left w:val="none" w:sz="0" w:space="0" w:color="auto"/>
            <w:bottom w:val="none" w:sz="0" w:space="0" w:color="auto"/>
            <w:right w:val="none" w:sz="0" w:space="0" w:color="auto"/>
          </w:divBdr>
        </w:div>
        <w:div w:id="1304042520">
          <w:marLeft w:val="0"/>
          <w:marRight w:val="0"/>
          <w:marTop w:val="0"/>
          <w:marBottom w:val="0"/>
          <w:divBdr>
            <w:top w:val="none" w:sz="0" w:space="0" w:color="auto"/>
            <w:left w:val="none" w:sz="0" w:space="0" w:color="auto"/>
            <w:bottom w:val="none" w:sz="0" w:space="0" w:color="auto"/>
            <w:right w:val="none" w:sz="0" w:space="0" w:color="auto"/>
          </w:divBdr>
          <w:divsChild>
            <w:div w:id="150218163">
              <w:marLeft w:val="0"/>
              <w:marRight w:val="0"/>
              <w:marTop w:val="75"/>
              <w:marBottom w:val="75"/>
              <w:divBdr>
                <w:top w:val="none" w:sz="0" w:space="0" w:color="auto"/>
                <w:left w:val="none" w:sz="0" w:space="0" w:color="auto"/>
                <w:bottom w:val="none" w:sz="0" w:space="0" w:color="auto"/>
                <w:right w:val="none" w:sz="0" w:space="0" w:color="auto"/>
              </w:divBdr>
            </w:div>
          </w:divsChild>
        </w:div>
        <w:div w:id="1470396241">
          <w:marLeft w:val="0"/>
          <w:marRight w:val="0"/>
          <w:marTop w:val="0"/>
          <w:marBottom w:val="0"/>
          <w:divBdr>
            <w:top w:val="none" w:sz="0" w:space="0" w:color="auto"/>
            <w:left w:val="none" w:sz="0" w:space="0" w:color="auto"/>
            <w:bottom w:val="none" w:sz="0" w:space="0" w:color="auto"/>
            <w:right w:val="none" w:sz="0" w:space="0" w:color="auto"/>
          </w:divBdr>
        </w:div>
      </w:divsChild>
    </w:div>
    <w:div w:id="41944184">
      <w:bodyDiv w:val="1"/>
      <w:marLeft w:val="0"/>
      <w:marRight w:val="0"/>
      <w:marTop w:val="0"/>
      <w:marBottom w:val="0"/>
      <w:divBdr>
        <w:top w:val="none" w:sz="0" w:space="0" w:color="auto"/>
        <w:left w:val="none" w:sz="0" w:space="0" w:color="auto"/>
        <w:bottom w:val="none" w:sz="0" w:space="0" w:color="auto"/>
        <w:right w:val="none" w:sz="0" w:space="0" w:color="auto"/>
      </w:divBdr>
      <w:divsChild>
        <w:div w:id="170876728">
          <w:marLeft w:val="0"/>
          <w:marRight w:val="0"/>
          <w:marTop w:val="0"/>
          <w:marBottom w:val="0"/>
          <w:divBdr>
            <w:top w:val="none" w:sz="0" w:space="0" w:color="auto"/>
            <w:left w:val="none" w:sz="0" w:space="0" w:color="auto"/>
            <w:bottom w:val="none" w:sz="0" w:space="0" w:color="auto"/>
            <w:right w:val="none" w:sz="0" w:space="0" w:color="auto"/>
          </w:divBdr>
          <w:divsChild>
            <w:div w:id="1832133998">
              <w:marLeft w:val="0"/>
              <w:marRight w:val="0"/>
              <w:marTop w:val="0"/>
              <w:marBottom w:val="0"/>
              <w:divBdr>
                <w:top w:val="none" w:sz="0" w:space="0" w:color="auto"/>
                <w:left w:val="none" w:sz="0" w:space="0" w:color="auto"/>
                <w:bottom w:val="none" w:sz="0" w:space="0" w:color="auto"/>
                <w:right w:val="none" w:sz="0" w:space="0" w:color="auto"/>
              </w:divBdr>
              <w:divsChild>
                <w:div w:id="1116758475">
                  <w:marLeft w:val="0"/>
                  <w:marRight w:val="0"/>
                  <w:marTop w:val="0"/>
                  <w:marBottom w:val="0"/>
                  <w:divBdr>
                    <w:top w:val="none" w:sz="0" w:space="0" w:color="auto"/>
                    <w:left w:val="none" w:sz="0" w:space="0" w:color="auto"/>
                    <w:bottom w:val="none" w:sz="0" w:space="0" w:color="auto"/>
                    <w:right w:val="none" w:sz="0" w:space="0" w:color="auto"/>
                  </w:divBdr>
                  <w:divsChild>
                    <w:div w:id="583149059">
                      <w:marLeft w:val="0"/>
                      <w:marRight w:val="0"/>
                      <w:marTop w:val="0"/>
                      <w:marBottom w:val="0"/>
                      <w:divBdr>
                        <w:top w:val="none" w:sz="0" w:space="0" w:color="auto"/>
                        <w:left w:val="none" w:sz="0" w:space="0" w:color="auto"/>
                        <w:bottom w:val="none" w:sz="0" w:space="0" w:color="auto"/>
                        <w:right w:val="none" w:sz="0" w:space="0" w:color="auto"/>
                      </w:divBdr>
                      <w:divsChild>
                        <w:div w:id="1916355242">
                          <w:marLeft w:val="0"/>
                          <w:marRight w:val="0"/>
                          <w:marTop w:val="0"/>
                          <w:marBottom w:val="0"/>
                          <w:divBdr>
                            <w:top w:val="none" w:sz="0" w:space="0" w:color="auto"/>
                            <w:left w:val="none" w:sz="0" w:space="0" w:color="auto"/>
                            <w:bottom w:val="none" w:sz="0" w:space="0" w:color="auto"/>
                            <w:right w:val="none" w:sz="0" w:space="0" w:color="auto"/>
                          </w:divBdr>
                          <w:divsChild>
                            <w:div w:id="573511057">
                              <w:marLeft w:val="0"/>
                              <w:marRight w:val="0"/>
                              <w:marTop w:val="0"/>
                              <w:marBottom w:val="0"/>
                              <w:divBdr>
                                <w:top w:val="none" w:sz="0" w:space="0" w:color="auto"/>
                                <w:left w:val="none" w:sz="0" w:space="0" w:color="auto"/>
                                <w:bottom w:val="none" w:sz="0" w:space="0" w:color="auto"/>
                                <w:right w:val="none" w:sz="0" w:space="0" w:color="auto"/>
                              </w:divBdr>
                              <w:divsChild>
                                <w:div w:id="9421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262609">
                  <w:marLeft w:val="0"/>
                  <w:marRight w:val="0"/>
                  <w:marTop w:val="0"/>
                  <w:marBottom w:val="0"/>
                  <w:divBdr>
                    <w:top w:val="none" w:sz="0" w:space="0" w:color="auto"/>
                    <w:left w:val="none" w:sz="0" w:space="0" w:color="auto"/>
                    <w:bottom w:val="none" w:sz="0" w:space="0" w:color="auto"/>
                    <w:right w:val="none" w:sz="0" w:space="0" w:color="auto"/>
                  </w:divBdr>
                </w:div>
              </w:divsChild>
            </w:div>
            <w:div w:id="28067053">
              <w:marLeft w:val="0"/>
              <w:marRight w:val="0"/>
              <w:marTop w:val="0"/>
              <w:marBottom w:val="0"/>
              <w:divBdr>
                <w:top w:val="none" w:sz="0" w:space="0" w:color="auto"/>
                <w:left w:val="none" w:sz="0" w:space="0" w:color="auto"/>
                <w:bottom w:val="none" w:sz="0" w:space="0" w:color="auto"/>
                <w:right w:val="none" w:sz="0" w:space="0" w:color="auto"/>
              </w:divBdr>
            </w:div>
            <w:div w:id="1570382500">
              <w:marLeft w:val="0"/>
              <w:marRight w:val="0"/>
              <w:marTop w:val="0"/>
              <w:marBottom w:val="0"/>
              <w:divBdr>
                <w:top w:val="none" w:sz="0" w:space="0" w:color="auto"/>
                <w:left w:val="none" w:sz="0" w:space="0" w:color="auto"/>
                <w:bottom w:val="none" w:sz="0" w:space="0" w:color="auto"/>
                <w:right w:val="none" w:sz="0" w:space="0" w:color="auto"/>
              </w:divBdr>
              <w:divsChild>
                <w:div w:id="469786016">
                  <w:marLeft w:val="0"/>
                  <w:marRight w:val="0"/>
                  <w:marTop w:val="0"/>
                  <w:marBottom w:val="0"/>
                  <w:divBdr>
                    <w:top w:val="none" w:sz="0" w:space="0" w:color="auto"/>
                    <w:left w:val="none" w:sz="0" w:space="0" w:color="auto"/>
                    <w:bottom w:val="none" w:sz="0" w:space="0" w:color="auto"/>
                    <w:right w:val="none" w:sz="0" w:space="0" w:color="auto"/>
                  </w:divBdr>
                  <w:divsChild>
                    <w:div w:id="958101500">
                      <w:marLeft w:val="0"/>
                      <w:marRight w:val="0"/>
                      <w:marTop w:val="0"/>
                      <w:marBottom w:val="0"/>
                      <w:divBdr>
                        <w:top w:val="none" w:sz="0" w:space="0" w:color="auto"/>
                        <w:left w:val="none" w:sz="0" w:space="0" w:color="auto"/>
                        <w:bottom w:val="none" w:sz="0" w:space="0" w:color="auto"/>
                        <w:right w:val="none" w:sz="0" w:space="0" w:color="auto"/>
                      </w:divBdr>
                      <w:divsChild>
                        <w:div w:id="1356733627">
                          <w:marLeft w:val="0"/>
                          <w:marRight w:val="0"/>
                          <w:marTop w:val="0"/>
                          <w:marBottom w:val="0"/>
                          <w:divBdr>
                            <w:top w:val="none" w:sz="0" w:space="0" w:color="auto"/>
                            <w:left w:val="none" w:sz="0" w:space="0" w:color="auto"/>
                            <w:bottom w:val="none" w:sz="0" w:space="0" w:color="auto"/>
                            <w:right w:val="none" w:sz="0" w:space="0" w:color="auto"/>
                          </w:divBdr>
                          <w:divsChild>
                            <w:div w:id="651519629">
                              <w:marLeft w:val="0"/>
                              <w:marRight w:val="0"/>
                              <w:marTop w:val="0"/>
                              <w:marBottom w:val="0"/>
                              <w:divBdr>
                                <w:top w:val="none" w:sz="0" w:space="0" w:color="auto"/>
                                <w:left w:val="none" w:sz="0" w:space="0" w:color="auto"/>
                                <w:bottom w:val="none" w:sz="0" w:space="0" w:color="auto"/>
                                <w:right w:val="none" w:sz="0" w:space="0" w:color="auto"/>
                              </w:divBdr>
                              <w:divsChild>
                                <w:div w:id="11476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02594">
      <w:bodyDiv w:val="1"/>
      <w:marLeft w:val="0"/>
      <w:marRight w:val="0"/>
      <w:marTop w:val="0"/>
      <w:marBottom w:val="0"/>
      <w:divBdr>
        <w:top w:val="none" w:sz="0" w:space="0" w:color="auto"/>
        <w:left w:val="none" w:sz="0" w:space="0" w:color="auto"/>
        <w:bottom w:val="none" w:sz="0" w:space="0" w:color="auto"/>
        <w:right w:val="none" w:sz="0" w:space="0" w:color="auto"/>
      </w:divBdr>
    </w:div>
    <w:div w:id="51537559">
      <w:bodyDiv w:val="1"/>
      <w:marLeft w:val="0"/>
      <w:marRight w:val="0"/>
      <w:marTop w:val="0"/>
      <w:marBottom w:val="0"/>
      <w:divBdr>
        <w:top w:val="none" w:sz="0" w:space="0" w:color="auto"/>
        <w:left w:val="none" w:sz="0" w:space="0" w:color="auto"/>
        <w:bottom w:val="none" w:sz="0" w:space="0" w:color="auto"/>
        <w:right w:val="none" w:sz="0" w:space="0" w:color="auto"/>
      </w:divBdr>
      <w:divsChild>
        <w:div w:id="813647022">
          <w:marLeft w:val="475"/>
          <w:marRight w:val="0"/>
          <w:marTop w:val="96"/>
          <w:marBottom w:val="120"/>
          <w:divBdr>
            <w:top w:val="none" w:sz="0" w:space="0" w:color="auto"/>
            <w:left w:val="none" w:sz="0" w:space="0" w:color="auto"/>
            <w:bottom w:val="none" w:sz="0" w:space="0" w:color="auto"/>
            <w:right w:val="none" w:sz="0" w:space="0" w:color="auto"/>
          </w:divBdr>
        </w:div>
        <w:div w:id="370306426">
          <w:marLeft w:val="475"/>
          <w:marRight w:val="0"/>
          <w:marTop w:val="96"/>
          <w:marBottom w:val="120"/>
          <w:divBdr>
            <w:top w:val="none" w:sz="0" w:space="0" w:color="auto"/>
            <w:left w:val="none" w:sz="0" w:space="0" w:color="auto"/>
            <w:bottom w:val="none" w:sz="0" w:space="0" w:color="auto"/>
            <w:right w:val="none" w:sz="0" w:space="0" w:color="auto"/>
          </w:divBdr>
        </w:div>
      </w:divsChild>
    </w:div>
    <w:div w:id="61099309">
      <w:bodyDiv w:val="1"/>
      <w:marLeft w:val="0"/>
      <w:marRight w:val="0"/>
      <w:marTop w:val="0"/>
      <w:marBottom w:val="0"/>
      <w:divBdr>
        <w:top w:val="none" w:sz="0" w:space="0" w:color="auto"/>
        <w:left w:val="none" w:sz="0" w:space="0" w:color="auto"/>
        <w:bottom w:val="none" w:sz="0" w:space="0" w:color="auto"/>
        <w:right w:val="none" w:sz="0" w:space="0" w:color="auto"/>
      </w:divBdr>
    </w:div>
    <w:div w:id="64492859">
      <w:bodyDiv w:val="1"/>
      <w:marLeft w:val="0"/>
      <w:marRight w:val="0"/>
      <w:marTop w:val="0"/>
      <w:marBottom w:val="0"/>
      <w:divBdr>
        <w:top w:val="none" w:sz="0" w:space="0" w:color="auto"/>
        <w:left w:val="none" w:sz="0" w:space="0" w:color="auto"/>
        <w:bottom w:val="none" w:sz="0" w:space="0" w:color="auto"/>
        <w:right w:val="none" w:sz="0" w:space="0" w:color="auto"/>
      </w:divBdr>
      <w:divsChild>
        <w:div w:id="769662371">
          <w:marLeft w:val="0"/>
          <w:marRight w:val="0"/>
          <w:marTop w:val="0"/>
          <w:marBottom w:val="0"/>
          <w:divBdr>
            <w:top w:val="none" w:sz="0" w:space="0" w:color="auto"/>
            <w:left w:val="none" w:sz="0" w:space="0" w:color="auto"/>
            <w:bottom w:val="none" w:sz="0" w:space="0" w:color="auto"/>
            <w:right w:val="none" w:sz="0" w:space="0" w:color="auto"/>
          </w:divBdr>
          <w:divsChild>
            <w:div w:id="307519569">
              <w:marLeft w:val="0"/>
              <w:marRight w:val="0"/>
              <w:marTop w:val="0"/>
              <w:marBottom w:val="0"/>
              <w:divBdr>
                <w:top w:val="none" w:sz="0" w:space="0" w:color="auto"/>
                <w:left w:val="none" w:sz="0" w:space="0" w:color="auto"/>
                <w:bottom w:val="none" w:sz="0" w:space="0" w:color="auto"/>
                <w:right w:val="none" w:sz="0" w:space="0" w:color="auto"/>
              </w:divBdr>
              <w:divsChild>
                <w:div w:id="12075266">
                  <w:marLeft w:val="0"/>
                  <w:marRight w:val="0"/>
                  <w:marTop w:val="0"/>
                  <w:marBottom w:val="0"/>
                  <w:divBdr>
                    <w:top w:val="none" w:sz="0" w:space="0" w:color="auto"/>
                    <w:left w:val="none" w:sz="0" w:space="0" w:color="auto"/>
                    <w:bottom w:val="none" w:sz="0" w:space="0" w:color="auto"/>
                    <w:right w:val="none" w:sz="0" w:space="0" w:color="auto"/>
                  </w:divBdr>
                  <w:divsChild>
                    <w:div w:id="398283058">
                      <w:marLeft w:val="0"/>
                      <w:marRight w:val="0"/>
                      <w:marTop w:val="0"/>
                      <w:marBottom w:val="0"/>
                      <w:divBdr>
                        <w:top w:val="none" w:sz="0" w:space="0" w:color="auto"/>
                        <w:left w:val="none" w:sz="0" w:space="0" w:color="auto"/>
                        <w:bottom w:val="none" w:sz="0" w:space="0" w:color="auto"/>
                        <w:right w:val="none" w:sz="0" w:space="0" w:color="auto"/>
                      </w:divBdr>
                      <w:divsChild>
                        <w:div w:id="1742632582">
                          <w:marLeft w:val="0"/>
                          <w:marRight w:val="0"/>
                          <w:marTop w:val="0"/>
                          <w:marBottom w:val="0"/>
                          <w:divBdr>
                            <w:top w:val="none" w:sz="0" w:space="0" w:color="auto"/>
                            <w:left w:val="none" w:sz="0" w:space="0" w:color="auto"/>
                            <w:bottom w:val="none" w:sz="0" w:space="0" w:color="auto"/>
                            <w:right w:val="none" w:sz="0" w:space="0" w:color="auto"/>
                          </w:divBdr>
                          <w:divsChild>
                            <w:div w:id="1000036014">
                              <w:marLeft w:val="0"/>
                              <w:marRight w:val="0"/>
                              <w:marTop w:val="0"/>
                              <w:marBottom w:val="0"/>
                              <w:divBdr>
                                <w:top w:val="none" w:sz="0" w:space="0" w:color="auto"/>
                                <w:left w:val="none" w:sz="0" w:space="0" w:color="auto"/>
                                <w:bottom w:val="none" w:sz="0" w:space="0" w:color="auto"/>
                                <w:right w:val="none" w:sz="0" w:space="0" w:color="auto"/>
                              </w:divBdr>
                              <w:divsChild>
                                <w:div w:id="838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69716">
      <w:bodyDiv w:val="1"/>
      <w:marLeft w:val="0"/>
      <w:marRight w:val="0"/>
      <w:marTop w:val="0"/>
      <w:marBottom w:val="0"/>
      <w:divBdr>
        <w:top w:val="none" w:sz="0" w:space="0" w:color="auto"/>
        <w:left w:val="none" w:sz="0" w:space="0" w:color="auto"/>
        <w:bottom w:val="none" w:sz="0" w:space="0" w:color="auto"/>
        <w:right w:val="none" w:sz="0" w:space="0" w:color="auto"/>
      </w:divBdr>
    </w:div>
    <w:div w:id="100998623">
      <w:bodyDiv w:val="1"/>
      <w:marLeft w:val="0"/>
      <w:marRight w:val="0"/>
      <w:marTop w:val="0"/>
      <w:marBottom w:val="0"/>
      <w:divBdr>
        <w:top w:val="none" w:sz="0" w:space="0" w:color="auto"/>
        <w:left w:val="none" w:sz="0" w:space="0" w:color="auto"/>
        <w:bottom w:val="none" w:sz="0" w:space="0" w:color="auto"/>
        <w:right w:val="none" w:sz="0" w:space="0" w:color="auto"/>
      </w:divBdr>
      <w:divsChild>
        <w:div w:id="1806894084">
          <w:marLeft w:val="475"/>
          <w:marRight w:val="0"/>
          <w:marTop w:val="115"/>
          <w:marBottom w:val="120"/>
          <w:divBdr>
            <w:top w:val="none" w:sz="0" w:space="0" w:color="auto"/>
            <w:left w:val="none" w:sz="0" w:space="0" w:color="auto"/>
            <w:bottom w:val="none" w:sz="0" w:space="0" w:color="auto"/>
            <w:right w:val="none" w:sz="0" w:space="0" w:color="auto"/>
          </w:divBdr>
        </w:div>
        <w:div w:id="1140421543">
          <w:marLeft w:val="475"/>
          <w:marRight w:val="0"/>
          <w:marTop w:val="115"/>
          <w:marBottom w:val="120"/>
          <w:divBdr>
            <w:top w:val="none" w:sz="0" w:space="0" w:color="auto"/>
            <w:left w:val="none" w:sz="0" w:space="0" w:color="auto"/>
            <w:bottom w:val="none" w:sz="0" w:space="0" w:color="auto"/>
            <w:right w:val="none" w:sz="0" w:space="0" w:color="auto"/>
          </w:divBdr>
        </w:div>
      </w:divsChild>
    </w:div>
    <w:div w:id="110591494">
      <w:bodyDiv w:val="1"/>
      <w:marLeft w:val="0"/>
      <w:marRight w:val="0"/>
      <w:marTop w:val="0"/>
      <w:marBottom w:val="0"/>
      <w:divBdr>
        <w:top w:val="none" w:sz="0" w:space="0" w:color="auto"/>
        <w:left w:val="none" w:sz="0" w:space="0" w:color="auto"/>
        <w:bottom w:val="none" w:sz="0" w:space="0" w:color="auto"/>
        <w:right w:val="none" w:sz="0" w:space="0" w:color="auto"/>
      </w:divBdr>
      <w:divsChild>
        <w:div w:id="2081292368">
          <w:marLeft w:val="475"/>
          <w:marRight w:val="0"/>
          <w:marTop w:val="96"/>
          <w:marBottom w:val="120"/>
          <w:divBdr>
            <w:top w:val="none" w:sz="0" w:space="0" w:color="auto"/>
            <w:left w:val="none" w:sz="0" w:space="0" w:color="auto"/>
            <w:bottom w:val="none" w:sz="0" w:space="0" w:color="auto"/>
            <w:right w:val="none" w:sz="0" w:space="0" w:color="auto"/>
          </w:divBdr>
        </w:div>
      </w:divsChild>
    </w:div>
    <w:div w:id="128211421">
      <w:bodyDiv w:val="1"/>
      <w:marLeft w:val="0"/>
      <w:marRight w:val="0"/>
      <w:marTop w:val="0"/>
      <w:marBottom w:val="0"/>
      <w:divBdr>
        <w:top w:val="none" w:sz="0" w:space="0" w:color="auto"/>
        <w:left w:val="none" w:sz="0" w:space="0" w:color="auto"/>
        <w:bottom w:val="none" w:sz="0" w:space="0" w:color="auto"/>
        <w:right w:val="none" w:sz="0" w:space="0" w:color="auto"/>
      </w:divBdr>
    </w:div>
    <w:div w:id="157229769">
      <w:bodyDiv w:val="1"/>
      <w:marLeft w:val="0"/>
      <w:marRight w:val="0"/>
      <w:marTop w:val="0"/>
      <w:marBottom w:val="0"/>
      <w:divBdr>
        <w:top w:val="none" w:sz="0" w:space="0" w:color="auto"/>
        <w:left w:val="none" w:sz="0" w:space="0" w:color="auto"/>
        <w:bottom w:val="none" w:sz="0" w:space="0" w:color="auto"/>
        <w:right w:val="none" w:sz="0" w:space="0" w:color="auto"/>
      </w:divBdr>
    </w:div>
    <w:div w:id="161245061">
      <w:bodyDiv w:val="1"/>
      <w:marLeft w:val="0"/>
      <w:marRight w:val="0"/>
      <w:marTop w:val="0"/>
      <w:marBottom w:val="0"/>
      <w:divBdr>
        <w:top w:val="none" w:sz="0" w:space="0" w:color="auto"/>
        <w:left w:val="none" w:sz="0" w:space="0" w:color="auto"/>
        <w:bottom w:val="none" w:sz="0" w:space="0" w:color="auto"/>
        <w:right w:val="none" w:sz="0" w:space="0" w:color="auto"/>
      </w:divBdr>
    </w:div>
    <w:div w:id="167138899">
      <w:bodyDiv w:val="1"/>
      <w:marLeft w:val="0"/>
      <w:marRight w:val="0"/>
      <w:marTop w:val="0"/>
      <w:marBottom w:val="0"/>
      <w:divBdr>
        <w:top w:val="none" w:sz="0" w:space="0" w:color="auto"/>
        <w:left w:val="none" w:sz="0" w:space="0" w:color="auto"/>
        <w:bottom w:val="none" w:sz="0" w:space="0" w:color="auto"/>
        <w:right w:val="none" w:sz="0" w:space="0" w:color="auto"/>
      </w:divBdr>
      <w:divsChild>
        <w:div w:id="675424359">
          <w:marLeft w:val="475"/>
          <w:marRight w:val="0"/>
          <w:marTop w:val="115"/>
          <w:marBottom w:val="120"/>
          <w:divBdr>
            <w:top w:val="none" w:sz="0" w:space="0" w:color="auto"/>
            <w:left w:val="none" w:sz="0" w:space="0" w:color="auto"/>
            <w:bottom w:val="none" w:sz="0" w:space="0" w:color="auto"/>
            <w:right w:val="none" w:sz="0" w:space="0" w:color="auto"/>
          </w:divBdr>
        </w:div>
        <w:div w:id="748770026">
          <w:marLeft w:val="475"/>
          <w:marRight w:val="0"/>
          <w:marTop w:val="115"/>
          <w:marBottom w:val="120"/>
          <w:divBdr>
            <w:top w:val="none" w:sz="0" w:space="0" w:color="auto"/>
            <w:left w:val="none" w:sz="0" w:space="0" w:color="auto"/>
            <w:bottom w:val="none" w:sz="0" w:space="0" w:color="auto"/>
            <w:right w:val="none" w:sz="0" w:space="0" w:color="auto"/>
          </w:divBdr>
        </w:div>
        <w:div w:id="526067177">
          <w:marLeft w:val="475"/>
          <w:marRight w:val="0"/>
          <w:marTop w:val="115"/>
          <w:marBottom w:val="120"/>
          <w:divBdr>
            <w:top w:val="none" w:sz="0" w:space="0" w:color="auto"/>
            <w:left w:val="none" w:sz="0" w:space="0" w:color="auto"/>
            <w:bottom w:val="none" w:sz="0" w:space="0" w:color="auto"/>
            <w:right w:val="none" w:sz="0" w:space="0" w:color="auto"/>
          </w:divBdr>
        </w:div>
        <w:div w:id="1203640582">
          <w:marLeft w:val="475"/>
          <w:marRight w:val="0"/>
          <w:marTop w:val="115"/>
          <w:marBottom w:val="120"/>
          <w:divBdr>
            <w:top w:val="none" w:sz="0" w:space="0" w:color="auto"/>
            <w:left w:val="none" w:sz="0" w:space="0" w:color="auto"/>
            <w:bottom w:val="none" w:sz="0" w:space="0" w:color="auto"/>
            <w:right w:val="none" w:sz="0" w:space="0" w:color="auto"/>
          </w:divBdr>
        </w:div>
      </w:divsChild>
    </w:div>
    <w:div w:id="167330426">
      <w:bodyDiv w:val="1"/>
      <w:marLeft w:val="0"/>
      <w:marRight w:val="0"/>
      <w:marTop w:val="0"/>
      <w:marBottom w:val="0"/>
      <w:divBdr>
        <w:top w:val="none" w:sz="0" w:space="0" w:color="auto"/>
        <w:left w:val="none" w:sz="0" w:space="0" w:color="auto"/>
        <w:bottom w:val="none" w:sz="0" w:space="0" w:color="auto"/>
        <w:right w:val="none" w:sz="0" w:space="0" w:color="auto"/>
      </w:divBdr>
      <w:divsChild>
        <w:div w:id="1411392498">
          <w:marLeft w:val="475"/>
          <w:marRight w:val="0"/>
          <w:marTop w:val="96"/>
          <w:marBottom w:val="120"/>
          <w:divBdr>
            <w:top w:val="none" w:sz="0" w:space="0" w:color="auto"/>
            <w:left w:val="none" w:sz="0" w:space="0" w:color="auto"/>
            <w:bottom w:val="none" w:sz="0" w:space="0" w:color="auto"/>
            <w:right w:val="none" w:sz="0" w:space="0" w:color="auto"/>
          </w:divBdr>
        </w:div>
        <w:div w:id="1429812713">
          <w:marLeft w:val="475"/>
          <w:marRight w:val="0"/>
          <w:marTop w:val="96"/>
          <w:marBottom w:val="120"/>
          <w:divBdr>
            <w:top w:val="none" w:sz="0" w:space="0" w:color="auto"/>
            <w:left w:val="none" w:sz="0" w:space="0" w:color="auto"/>
            <w:bottom w:val="none" w:sz="0" w:space="0" w:color="auto"/>
            <w:right w:val="none" w:sz="0" w:space="0" w:color="auto"/>
          </w:divBdr>
        </w:div>
        <w:div w:id="499392701">
          <w:marLeft w:val="475"/>
          <w:marRight w:val="0"/>
          <w:marTop w:val="96"/>
          <w:marBottom w:val="120"/>
          <w:divBdr>
            <w:top w:val="none" w:sz="0" w:space="0" w:color="auto"/>
            <w:left w:val="none" w:sz="0" w:space="0" w:color="auto"/>
            <w:bottom w:val="none" w:sz="0" w:space="0" w:color="auto"/>
            <w:right w:val="none" w:sz="0" w:space="0" w:color="auto"/>
          </w:divBdr>
        </w:div>
      </w:divsChild>
    </w:div>
    <w:div w:id="179126193">
      <w:bodyDiv w:val="1"/>
      <w:marLeft w:val="0"/>
      <w:marRight w:val="0"/>
      <w:marTop w:val="0"/>
      <w:marBottom w:val="0"/>
      <w:divBdr>
        <w:top w:val="none" w:sz="0" w:space="0" w:color="auto"/>
        <w:left w:val="none" w:sz="0" w:space="0" w:color="auto"/>
        <w:bottom w:val="none" w:sz="0" w:space="0" w:color="auto"/>
        <w:right w:val="none" w:sz="0" w:space="0" w:color="auto"/>
      </w:divBdr>
      <w:divsChild>
        <w:div w:id="497766772">
          <w:marLeft w:val="475"/>
          <w:marRight w:val="0"/>
          <w:marTop w:val="115"/>
          <w:marBottom w:val="120"/>
          <w:divBdr>
            <w:top w:val="none" w:sz="0" w:space="0" w:color="auto"/>
            <w:left w:val="none" w:sz="0" w:space="0" w:color="auto"/>
            <w:bottom w:val="none" w:sz="0" w:space="0" w:color="auto"/>
            <w:right w:val="none" w:sz="0" w:space="0" w:color="auto"/>
          </w:divBdr>
        </w:div>
        <w:div w:id="895169262">
          <w:marLeft w:val="475"/>
          <w:marRight w:val="0"/>
          <w:marTop w:val="115"/>
          <w:marBottom w:val="120"/>
          <w:divBdr>
            <w:top w:val="none" w:sz="0" w:space="0" w:color="auto"/>
            <w:left w:val="none" w:sz="0" w:space="0" w:color="auto"/>
            <w:bottom w:val="none" w:sz="0" w:space="0" w:color="auto"/>
            <w:right w:val="none" w:sz="0" w:space="0" w:color="auto"/>
          </w:divBdr>
        </w:div>
        <w:div w:id="1279488892">
          <w:marLeft w:val="605"/>
          <w:marRight w:val="0"/>
          <w:marTop w:val="115"/>
          <w:marBottom w:val="120"/>
          <w:divBdr>
            <w:top w:val="none" w:sz="0" w:space="0" w:color="auto"/>
            <w:left w:val="none" w:sz="0" w:space="0" w:color="auto"/>
            <w:bottom w:val="none" w:sz="0" w:space="0" w:color="auto"/>
            <w:right w:val="none" w:sz="0" w:space="0" w:color="auto"/>
          </w:divBdr>
        </w:div>
      </w:divsChild>
    </w:div>
    <w:div w:id="197738553">
      <w:bodyDiv w:val="1"/>
      <w:marLeft w:val="0"/>
      <w:marRight w:val="0"/>
      <w:marTop w:val="0"/>
      <w:marBottom w:val="0"/>
      <w:divBdr>
        <w:top w:val="none" w:sz="0" w:space="0" w:color="auto"/>
        <w:left w:val="none" w:sz="0" w:space="0" w:color="auto"/>
        <w:bottom w:val="none" w:sz="0" w:space="0" w:color="auto"/>
        <w:right w:val="none" w:sz="0" w:space="0" w:color="auto"/>
      </w:divBdr>
    </w:div>
    <w:div w:id="215509576">
      <w:bodyDiv w:val="1"/>
      <w:marLeft w:val="0"/>
      <w:marRight w:val="0"/>
      <w:marTop w:val="0"/>
      <w:marBottom w:val="0"/>
      <w:divBdr>
        <w:top w:val="none" w:sz="0" w:space="0" w:color="auto"/>
        <w:left w:val="none" w:sz="0" w:space="0" w:color="auto"/>
        <w:bottom w:val="none" w:sz="0" w:space="0" w:color="auto"/>
        <w:right w:val="none" w:sz="0" w:space="0" w:color="auto"/>
      </w:divBdr>
      <w:divsChild>
        <w:div w:id="228344834">
          <w:marLeft w:val="475"/>
          <w:marRight w:val="0"/>
          <w:marTop w:val="115"/>
          <w:marBottom w:val="120"/>
          <w:divBdr>
            <w:top w:val="none" w:sz="0" w:space="0" w:color="auto"/>
            <w:left w:val="none" w:sz="0" w:space="0" w:color="auto"/>
            <w:bottom w:val="none" w:sz="0" w:space="0" w:color="auto"/>
            <w:right w:val="none" w:sz="0" w:space="0" w:color="auto"/>
          </w:divBdr>
        </w:div>
        <w:div w:id="853424794">
          <w:marLeft w:val="994"/>
          <w:marRight w:val="0"/>
          <w:marTop w:val="96"/>
          <w:marBottom w:val="120"/>
          <w:divBdr>
            <w:top w:val="none" w:sz="0" w:space="0" w:color="auto"/>
            <w:left w:val="none" w:sz="0" w:space="0" w:color="auto"/>
            <w:bottom w:val="none" w:sz="0" w:space="0" w:color="auto"/>
            <w:right w:val="none" w:sz="0" w:space="0" w:color="auto"/>
          </w:divBdr>
        </w:div>
        <w:div w:id="512107788">
          <w:marLeft w:val="994"/>
          <w:marRight w:val="0"/>
          <w:marTop w:val="96"/>
          <w:marBottom w:val="120"/>
          <w:divBdr>
            <w:top w:val="none" w:sz="0" w:space="0" w:color="auto"/>
            <w:left w:val="none" w:sz="0" w:space="0" w:color="auto"/>
            <w:bottom w:val="none" w:sz="0" w:space="0" w:color="auto"/>
            <w:right w:val="none" w:sz="0" w:space="0" w:color="auto"/>
          </w:divBdr>
        </w:div>
        <w:div w:id="675692494">
          <w:marLeft w:val="994"/>
          <w:marRight w:val="0"/>
          <w:marTop w:val="96"/>
          <w:marBottom w:val="120"/>
          <w:divBdr>
            <w:top w:val="none" w:sz="0" w:space="0" w:color="auto"/>
            <w:left w:val="none" w:sz="0" w:space="0" w:color="auto"/>
            <w:bottom w:val="none" w:sz="0" w:space="0" w:color="auto"/>
            <w:right w:val="none" w:sz="0" w:space="0" w:color="auto"/>
          </w:divBdr>
        </w:div>
        <w:div w:id="1194879023">
          <w:marLeft w:val="994"/>
          <w:marRight w:val="0"/>
          <w:marTop w:val="96"/>
          <w:marBottom w:val="120"/>
          <w:divBdr>
            <w:top w:val="none" w:sz="0" w:space="0" w:color="auto"/>
            <w:left w:val="none" w:sz="0" w:space="0" w:color="auto"/>
            <w:bottom w:val="none" w:sz="0" w:space="0" w:color="auto"/>
            <w:right w:val="none" w:sz="0" w:space="0" w:color="auto"/>
          </w:divBdr>
        </w:div>
        <w:div w:id="306202049">
          <w:marLeft w:val="994"/>
          <w:marRight w:val="0"/>
          <w:marTop w:val="96"/>
          <w:marBottom w:val="120"/>
          <w:divBdr>
            <w:top w:val="none" w:sz="0" w:space="0" w:color="auto"/>
            <w:left w:val="none" w:sz="0" w:space="0" w:color="auto"/>
            <w:bottom w:val="none" w:sz="0" w:space="0" w:color="auto"/>
            <w:right w:val="none" w:sz="0" w:space="0" w:color="auto"/>
          </w:divBdr>
        </w:div>
        <w:div w:id="762797847">
          <w:marLeft w:val="994"/>
          <w:marRight w:val="0"/>
          <w:marTop w:val="96"/>
          <w:marBottom w:val="120"/>
          <w:divBdr>
            <w:top w:val="none" w:sz="0" w:space="0" w:color="auto"/>
            <w:left w:val="none" w:sz="0" w:space="0" w:color="auto"/>
            <w:bottom w:val="none" w:sz="0" w:space="0" w:color="auto"/>
            <w:right w:val="none" w:sz="0" w:space="0" w:color="auto"/>
          </w:divBdr>
        </w:div>
      </w:divsChild>
    </w:div>
    <w:div w:id="246888914">
      <w:bodyDiv w:val="1"/>
      <w:marLeft w:val="0"/>
      <w:marRight w:val="0"/>
      <w:marTop w:val="0"/>
      <w:marBottom w:val="0"/>
      <w:divBdr>
        <w:top w:val="none" w:sz="0" w:space="0" w:color="auto"/>
        <w:left w:val="none" w:sz="0" w:space="0" w:color="auto"/>
        <w:bottom w:val="none" w:sz="0" w:space="0" w:color="auto"/>
        <w:right w:val="none" w:sz="0" w:space="0" w:color="auto"/>
      </w:divBdr>
    </w:div>
    <w:div w:id="256525089">
      <w:bodyDiv w:val="1"/>
      <w:marLeft w:val="0"/>
      <w:marRight w:val="0"/>
      <w:marTop w:val="0"/>
      <w:marBottom w:val="0"/>
      <w:divBdr>
        <w:top w:val="none" w:sz="0" w:space="0" w:color="auto"/>
        <w:left w:val="none" w:sz="0" w:space="0" w:color="auto"/>
        <w:bottom w:val="none" w:sz="0" w:space="0" w:color="auto"/>
        <w:right w:val="none" w:sz="0" w:space="0" w:color="auto"/>
      </w:divBdr>
    </w:div>
    <w:div w:id="279142381">
      <w:bodyDiv w:val="1"/>
      <w:marLeft w:val="0"/>
      <w:marRight w:val="0"/>
      <w:marTop w:val="0"/>
      <w:marBottom w:val="0"/>
      <w:divBdr>
        <w:top w:val="none" w:sz="0" w:space="0" w:color="auto"/>
        <w:left w:val="none" w:sz="0" w:space="0" w:color="auto"/>
        <w:bottom w:val="none" w:sz="0" w:space="0" w:color="auto"/>
        <w:right w:val="none" w:sz="0" w:space="0" w:color="auto"/>
      </w:divBdr>
      <w:divsChild>
        <w:div w:id="325012089">
          <w:marLeft w:val="0"/>
          <w:marRight w:val="0"/>
          <w:marTop w:val="0"/>
          <w:marBottom w:val="0"/>
          <w:divBdr>
            <w:top w:val="none" w:sz="0" w:space="0" w:color="auto"/>
            <w:left w:val="none" w:sz="0" w:space="0" w:color="auto"/>
            <w:bottom w:val="none" w:sz="0" w:space="0" w:color="auto"/>
            <w:right w:val="none" w:sz="0" w:space="0" w:color="auto"/>
          </w:divBdr>
        </w:div>
      </w:divsChild>
    </w:div>
    <w:div w:id="294482752">
      <w:bodyDiv w:val="1"/>
      <w:marLeft w:val="0"/>
      <w:marRight w:val="0"/>
      <w:marTop w:val="0"/>
      <w:marBottom w:val="0"/>
      <w:divBdr>
        <w:top w:val="none" w:sz="0" w:space="0" w:color="auto"/>
        <w:left w:val="none" w:sz="0" w:space="0" w:color="auto"/>
        <w:bottom w:val="none" w:sz="0" w:space="0" w:color="auto"/>
        <w:right w:val="none" w:sz="0" w:space="0" w:color="auto"/>
      </w:divBdr>
    </w:div>
    <w:div w:id="302467639">
      <w:bodyDiv w:val="1"/>
      <w:marLeft w:val="0"/>
      <w:marRight w:val="0"/>
      <w:marTop w:val="0"/>
      <w:marBottom w:val="0"/>
      <w:divBdr>
        <w:top w:val="none" w:sz="0" w:space="0" w:color="auto"/>
        <w:left w:val="none" w:sz="0" w:space="0" w:color="auto"/>
        <w:bottom w:val="none" w:sz="0" w:space="0" w:color="auto"/>
        <w:right w:val="none" w:sz="0" w:space="0" w:color="auto"/>
      </w:divBdr>
      <w:divsChild>
        <w:div w:id="488519213">
          <w:marLeft w:val="475"/>
          <w:marRight w:val="0"/>
          <w:marTop w:val="77"/>
          <w:marBottom w:val="120"/>
          <w:divBdr>
            <w:top w:val="none" w:sz="0" w:space="0" w:color="auto"/>
            <w:left w:val="none" w:sz="0" w:space="0" w:color="auto"/>
            <w:bottom w:val="none" w:sz="0" w:space="0" w:color="auto"/>
            <w:right w:val="none" w:sz="0" w:space="0" w:color="auto"/>
          </w:divBdr>
        </w:div>
        <w:div w:id="326247894">
          <w:marLeft w:val="475"/>
          <w:marRight w:val="0"/>
          <w:marTop w:val="77"/>
          <w:marBottom w:val="120"/>
          <w:divBdr>
            <w:top w:val="none" w:sz="0" w:space="0" w:color="auto"/>
            <w:left w:val="none" w:sz="0" w:space="0" w:color="auto"/>
            <w:bottom w:val="none" w:sz="0" w:space="0" w:color="auto"/>
            <w:right w:val="none" w:sz="0" w:space="0" w:color="auto"/>
          </w:divBdr>
        </w:div>
        <w:div w:id="1698193258">
          <w:marLeft w:val="475"/>
          <w:marRight w:val="0"/>
          <w:marTop w:val="77"/>
          <w:marBottom w:val="120"/>
          <w:divBdr>
            <w:top w:val="none" w:sz="0" w:space="0" w:color="auto"/>
            <w:left w:val="none" w:sz="0" w:space="0" w:color="auto"/>
            <w:bottom w:val="none" w:sz="0" w:space="0" w:color="auto"/>
            <w:right w:val="none" w:sz="0" w:space="0" w:color="auto"/>
          </w:divBdr>
        </w:div>
        <w:div w:id="1761901697">
          <w:marLeft w:val="475"/>
          <w:marRight w:val="0"/>
          <w:marTop w:val="77"/>
          <w:marBottom w:val="120"/>
          <w:divBdr>
            <w:top w:val="none" w:sz="0" w:space="0" w:color="auto"/>
            <w:left w:val="none" w:sz="0" w:space="0" w:color="auto"/>
            <w:bottom w:val="none" w:sz="0" w:space="0" w:color="auto"/>
            <w:right w:val="none" w:sz="0" w:space="0" w:color="auto"/>
          </w:divBdr>
        </w:div>
        <w:div w:id="1631471030">
          <w:marLeft w:val="475"/>
          <w:marRight w:val="0"/>
          <w:marTop w:val="77"/>
          <w:marBottom w:val="120"/>
          <w:divBdr>
            <w:top w:val="none" w:sz="0" w:space="0" w:color="auto"/>
            <w:left w:val="none" w:sz="0" w:space="0" w:color="auto"/>
            <w:bottom w:val="none" w:sz="0" w:space="0" w:color="auto"/>
            <w:right w:val="none" w:sz="0" w:space="0" w:color="auto"/>
          </w:divBdr>
        </w:div>
        <w:div w:id="1999848174">
          <w:marLeft w:val="475"/>
          <w:marRight w:val="0"/>
          <w:marTop w:val="77"/>
          <w:marBottom w:val="120"/>
          <w:divBdr>
            <w:top w:val="none" w:sz="0" w:space="0" w:color="auto"/>
            <w:left w:val="none" w:sz="0" w:space="0" w:color="auto"/>
            <w:bottom w:val="none" w:sz="0" w:space="0" w:color="auto"/>
            <w:right w:val="none" w:sz="0" w:space="0" w:color="auto"/>
          </w:divBdr>
        </w:div>
        <w:div w:id="71902836">
          <w:marLeft w:val="475"/>
          <w:marRight w:val="0"/>
          <w:marTop w:val="77"/>
          <w:marBottom w:val="120"/>
          <w:divBdr>
            <w:top w:val="none" w:sz="0" w:space="0" w:color="auto"/>
            <w:left w:val="none" w:sz="0" w:space="0" w:color="auto"/>
            <w:bottom w:val="none" w:sz="0" w:space="0" w:color="auto"/>
            <w:right w:val="none" w:sz="0" w:space="0" w:color="auto"/>
          </w:divBdr>
        </w:div>
        <w:div w:id="1188644303">
          <w:marLeft w:val="475"/>
          <w:marRight w:val="0"/>
          <w:marTop w:val="77"/>
          <w:marBottom w:val="120"/>
          <w:divBdr>
            <w:top w:val="none" w:sz="0" w:space="0" w:color="auto"/>
            <w:left w:val="none" w:sz="0" w:space="0" w:color="auto"/>
            <w:bottom w:val="none" w:sz="0" w:space="0" w:color="auto"/>
            <w:right w:val="none" w:sz="0" w:space="0" w:color="auto"/>
          </w:divBdr>
        </w:div>
        <w:div w:id="104427589">
          <w:marLeft w:val="475"/>
          <w:marRight w:val="0"/>
          <w:marTop w:val="77"/>
          <w:marBottom w:val="120"/>
          <w:divBdr>
            <w:top w:val="none" w:sz="0" w:space="0" w:color="auto"/>
            <w:left w:val="none" w:sz="0" w:space="0" w:color="auto"/>
            <w:bottom w:val="none" w:sz="0" w:space="0" w:color="auto"/>
            <w:right w:val="none" w:sz="0" w:space="0" w:color="auto"/>
          </w:divBdr>
        </w:div>
        <w:div w:id="1113093720">
          <w:marLeft w:val="475"/>
          <w:marRight w:val="0"/>
          <w:marTop w:val="77"/>
          <w:marBottom w:val="120"/>
          <w:divBdr>
            <w:top w:val="none" w:sz="0" w:space="0" w:color="auto"/>
            <w:left w:val="none" w:sz="0" w:space="0" w:color="auto"/>
            <w:bottom w:val="none" w:sz="0" w:space="0" w:color="auto"/>
            <w:right w:val="none" w:sz="0" w:space="0" w:color="auto"/>
          </w:divBdr>
        </w:div>
        <w:div w:id="296839773">
          <w:marLeft w:val="475"/>
          <w:marRight w:val="0"/>
          <w:marTop w:val="77"/>
          <w:marBottom w:val="120"/>
          <w:divBdr>
            <w:top w:val="none" w:sz="0" w:space="0" w:color="auto"/>
            <w:left w:val="none" w:sz="0" w:space="0" w:color="auto"/>
            <w:bottom w:val="none" w:sz="0" w:space="0" w:color="auto"/>
            <w:right w:val="none" w:sz="0" w:space="0" w:color="auto"/>
          </w:divBdr>
        </w:div>
      </w:divsChild>
    </w:div>
    <w:div w:id="302850968">
      <w:bodyDiv w:val="1"/>
      <w:marLeft w:val="0"/>
      <w:marRight w:val="0"/>
      <w:marTop w:val="0"/>
      <w:marBottom w:val="0"/>
      <w:divBdr>
        <w:top w:val="none" w:sz="0" w:space="0" w:color="auto"/>
        <w:left w:val="none" w:sz="0" w:space="0" w:color="auto"/>
        <w:bottom w:val="none" w:sz="0" w:space="0" w:color="auto"/>
        <w:right w:val="none" w:sz="0" w:space="0" w:color="auto"/>
      </w:divBdr>
      <w:divsChild>
        <w:div w:id="1483352044">
          <w:marLeft w:val="475"/>
          <w:marRight w:val="0"/>
          <w:marTop w:val="115"/>
          <w:marBottom w:val="120"/>
          <w:divBdr>
            <w:top w:val="none" w:sz="0" w:space="0" w:color="auto"/>
            <w:left w:val="none" w:sz="0" w:space="0" w:color="auto"/>
            <w:bottom w:val="none" w:sz="0" w:space="0" w:color="auto"/>
            <w:right w:val="none" w:sz="0" w:space="0" w:color="auto"/>
          </w:divBdr>
        </w:div>
        <w:div w:id="980579149">
          <w:marLeft w:val="475"/>
          <w:marRight w:val="0"/>
          <w:marTop w:val="115"/>
          <w:marBottom w:val="120"/>
          <w:divBdr>
            <w:top w:val="none" w:sz="0" w:space="0" w:color="auto"/>
            <w:left w:val="none" w:sz="0" w:space="0" w:color="auto"/>
            <w:bottom w:val="none" w:sz="0" w:space="0" w:color="auto"/>
            <w:right w:val="none" w:sz="0" w:space="0" w:color="auto"/>
          </w:divBdr>
        </w:div>
        <w:div w:id="1725368825">
          <w:marLeft w:val="475"/>
          <w:marRight w:val="0"/>
          <w:marTop w:val="115"/>
          <w:marBottom w:val="120"/>
          <w:divBdr>
            <w:top w:val="none" w:sz="0" w:space="0" w:color="auto"/>
            <w:left w:val="none" w:sz="0" w:space="0" w:color="auto"/>
            <w:bottom w:val="none" w:sz="0" w:space="0" w:color="auto"/>
            <w:right w:val="none" w:sz="0" w:space="0" w:color="auto"/>
          </w:divBdr>
        </w:div>
      </w:divsChild>
    </w:div>
    <w:div w:id="322779427">
      <w:bodyDiv w:val="1"/>
      <w:marLeft w:val="0"/>
      <w:marRight w:val="0"/>
      <w:marTop w:val="0"/>
      <w:marBottom w:val="0"/>
      <w:divBdr>
        <w:top w:val="none" w:sz="0" w:space="0" w:color="auto"/>
        <w:left w:val="none" w:sz="0" w:space="0" w:color="auto"/>
        <w:bottom w:val="none" w:sz="0" w:space="0" w:color="auto"/>
        <w:right w:val="none" w:sz="0" w:space="0" w:color="auto"/>
      </w:divBdr>
      <w:divsChild>
        <w:div w:id="2128548368">
          <w:marLeft w:val="475"/>
          <w:marRight w:val="0"/>
          <w:marTop w:val="115"/>
          <w:marBottom w:val="120"/>
          <w:divBdr>
            <w:top w:val="none" w:sz="0" w:space="0" w:color="auto"/>
            <w:left w:val="none" w:sz="0" w:space="0" w:color="auto"/>
            <w:bottom w:val="none" w:sz="0" w:space="0" w:color="auto"/>
            <w:right w:val="none" w:sz="0" w:space="0" w:color="auto"/>
          </w:divBdr>
        </w:div>
        <w:div w:id="1017074515">
          <w:marLeft w:val="475"/>
          <w:marRight w:val="0"/>
          <w:marTop w:val="115"/>
          <w:marBottom w:val="120"/>
          <w:divBdr>
            <w:top w:val="none" w:sz="0" w:space="0" w:color="auto"/>
            <w:left w:val="none" w:sz="0" w:space="0" w:color="auto"/>
            <w:bottom w:val="none" w:sz="0" w:space="0" w:color="auto"/>
            <w:right w:val="none" w:sz="0" w:space="0" w:color="auto"/>
          </w:divBdr>
        </w:div>
        <w:div w:id="778988946">
          <w:marLeft w:val="475"/>
          <w:marRight w:val="0"/>
          <w:marTop w:val="115"/>
          <w:marBottom w:val="120"/>
          <w:divBdr>
            <w:top w:val="none" w:sz="0" w:space="0" w:color="auto"/>
            <w:left w:val="none" w:sz="0" w:space="0" w:color="auto"/>
            <w:bottom w:val="none" w:sz="0" w:space="0" w:color="auto"/>
            <w:right w:val="none" w:sz="0" w:space="0" w:color="auto"/>
          </w:divBdr>
        </w:div>
        <w:div w:id="1387296730">
          <w:marLeft w:val="475"/>
          <w:marRight w:val="0"/>
          <w:marTop w:val="115"/>
          <w:marBottom w:val="120"/>
          <w:divBdr>
            <w:top w:val="none" w:sz="0" w:space="0" w:color="auto"/>
            <w:left w:val="none" w:sz="0" w:space="0" w:color="auto"/>
            <w:bottom w:val="none" w:sz="0" w:space="0" w:color="auto"/>
            <w:right w:val="none" w:sz="0" w:space="0" w:color="auto"/>
          </w:divBdr>
        </w:div>
      </w:divsChild>
    </w:div>
    <w:div w:id="327636639">
      <w:bodyDiv w:val="1"/>
      <w:marLeft w:val="0"/>
      <w:marRight w:val="0"/>
      <w:marTop w:val="0"/>
      <w:marBottom w:val="0"/>
      <w:divBdr>
        <w:top w:val="none" w:sz="0" w:space="0" w:color="auto"/>
        <w:left w:val="none" w:sz="0" w:space="0" w:color="auto"/>
        <w:bottom w:val="none" w:sz="0" w:space="0" w:color="auto"/>
        <w:right w:val="none" w:sz="0" w:space="0" w:color="auto"/>
      </w:divBdr>
    </w:div>
    <w:div w:id="349334157">
      <w:bodyDiv w:val="1"/>
      <w:marLeft w:val="0"/>
      <w:marRight w:val="0"/>
      <w:marTop w:val="0"/>
      <w:marBottom w:val="0"/>
      <w:divBdr>
        <w:top w:val="none" w:sz="0" w:space="0" w:color="auto"/>
        <w:left w:val="none" w:sz="0" w:space="0" w:color="auto"/>
        <w:bottom w:val="none" w:sz="0" w:space="0" w:color="auto"/>
        <w:right w:val="none" w:sz="0" w:space="0" w:color="auto"/>
      </w:divBdr>
      <w:divsChild>
        <w:div w:id="834079085">
          <w:marLeft w:val="475"/>
          <w:marRight w:val="0"/>
          <w:marTop w:val="115"/>
          <w:marBottom w:val="120"/>
          <w:divBdr>
            <w:top w:val="none" w:sz="0" w:space="0" w:color="auto"/>
            <w:left w:val="none" w:sz="0" w:space="0" w:color="auto"/>
            <w:bottom w:val="none" w:sz="0" w:space="0" w:color="auto"/>
            <w:right w:val="none" w:sz="0" w:space="0" w:color="auto"/>
          </w:divBdr>
        </w:div>
        <w:div w:id="789664779">
          <w:marLeft w:val="475"/>
          <w:marRight w:val="0"/>
          <w:marTop w:val="115"/>
          <w:marBottom w:val="120"/>
          <w:divBdr>
            <w:top w:val="none" w:sz="0" w:space="0" w:color="auto"/>
            <w:left w:val="none" w:sz="0" w:space="0" w:color="auto"/>
            <w:bottom w:val="none" w:sz="0" w:space="0" w:color="auto"/>
            <w:right w:val="none" w:sz="0" w:space="0" w:color="auto"/>
          </w:divBdr>
        </w:div>
        <w:div w:id="1297177156">
          <w:marLeft w:val="475"/>
          <w:marRight w:val="0"/>
          <w:marTop w:val="115"/>
          <w:marBottom w:val="120"/>
          <w:divBdr>
            <w:top w:val="none" w:sz="0" w:space="0" w:color="auto"/>
            <w:left w:val="none" w:sz="0" w:space="0" w:color="auto"/>
            <w:bottom w:val="none" w:sz="0" w:space="0" w:color="auto"/>
            <w:right w:val="none" w:sz="0" w:space="0" w:color="auto"/>
          </w:divBdr>
        </w:div>
        <w:div w:id="1031565988">
          <w:marLeft w:val="475"/>
          <w:marRight w:val="0"/>
          <w:marTop w:val="115"/>
          <w:marBottom w:val="120"/>
          <w:divBdr>
            <w:top w:val="none" w:sz="0" w:space="0" w:color="auto"/>
            <w:left w:val="none" w:sz="0" w:space="0" w:color="auto"/>
            <w:bottom w:val="none" w:sz="0" w:space="0" w:color="auto"/>
            <w:right w:val="none" w:sz="0" w:space="0" w:color="auto"/>
          </w:divBdr>
        </w:div>
      </w:divsChild>
    </w:div>
    <w:div w:id="372968954">
      <w:bodyDiv w:val="1"/>
      <w:marLeft w:val="0"/>
      <w:marRight w:val="0"/>
      <w:marTop w:val="0"/>
      <w:marBottom w:val="0"/>
      <w:divBdr>
        <w:top w:val="none" w:sz="0" w:space="0" w:color="auto"/>
        <w:left w:val="none" w:sz="0" w:space="0" w:color="auto"/>
        <w:bottom w:val="none" w:sz="0" w:space="0" w:color="auto"/>
        <w:right w:val="none" w:sz="0" w:space="0" w:color="auto"/>
      </w:divBdr>
    </w:div>
    <w:div w:id="385417226">
      <w:bodyDiv w:val="1"/>
      <w:marLeft w:val="0"/>
      <w:marRight w:val="0"/>
      <w:marTop w:val="0"/>
      <w:marBottom w:val="0"/>
      <w:divBdr>
        <w:top w:val="none" w:sz="0" w:space="0" w:color="auto"/>
        <w:left w:val="none" w:sz="0" w:space="0" w:color="auto"/>
        <w:bottom w:val="none" w:sz="0" w:space="0" w:color="auto"/>
        <w:right w:val="none" w:sz="0" w:space="0" w:color="auto"/>
      </w:divBdr>
      <w:divsChild>
        <w:div w:id="974485278">
          <w:marLeft w:val="288"/>
          <w:marRight w:val="0"/>
          <w:marTop w:val="115"/>
          <w:marBottom w:val="120"/>
          <w:divBdr>
            <w:top w:val="none" w:sz="0" w:space="0" w:color="auto"/>
            <w:left w:val="none" w:sz="0" w:space="0" w:color="auto"/>
            <w:bottom w:val="none" w:sz="0" w:space="0" w:color="auto"/>
            <w:right w:val="none" w:sz="0" w:space="0" w:color="auto"/>
          </w:divBdr>
        </w:div>
        <w:div w:id="1472018167">
          <w:marLeft w:val="288"/>
          <w:marRight w:val="0"/>
          <w:marTop w:val="115"/>
          <w:marBottom w:val="120"/>
          <w:divBdr>
            <w:top w:val="none" w:sz="0" w:space="0" w:color="auto"/>
            <w:left w:val="none" w:sz="0" w:space="0" w:color="auto"/>
            <w:bottom w:val="none" w:sz="0" w:space="0" w:color="auto"/>
            <w:right w:val="none" w:sz="0" w:space="0" w:color="auto"/>
          </w:divBdr>
        </w:div>
        <w:div w:id="1410886637">
          <w:marLeft w:val="288"/>
          <w:marRight w:val="0"/>
          <w:marTop w:val="115"/>
          <w:marBottom w:val="120"/>
          <w:divBdr>
            <w:top w:val="none" w:sz="0" w:space="0" w:color="auto"/>
            <w:left w:val="none" w:sz="0" w:space="0" w:color="auto"/>
            <w:bottom w:val="none" w:sz="0" w:space="0" w:color="auto"/>
            <w:right w:val="none" w:sz="0" w:space="0" w:color="auto"/>
          </w:divBdr>
        </w:div>
        <w:div w:id="1634481193">
          <w:marLeft w:val="288"/>
          <w:marRight w:val="0"/>
          <w:marTop w:val="115"/>
          <w:marBottom w:val="120"/>
          <w:divBdr>
            <w:top w:val="none" w:sz="0" w:space="0" w:color="auto"/>
            <w:left w:val="none" w:sz="0" w:space="0" w:color="auto"/>
            <w:bottom w:val="none" w:sz="0" w:space="0" w:color="auto"/>
            <w:right w:val="none" w:sz="0" w:space="0" w:color="auto"/>
          </w:divBdr>
        </w:div>
      </w:divsChild>
    </w:div>
    <w:div w:id="401371974">
      <w:bodyDiv w:val="1"/>
      <w:marLeft w:val="0"/>
      <w:marRight w:val="0"/>
      <w:marTop w:val="0"/>
      <w:marBottom w:val="0"/>
      <w:divBdr>
        <w:top w:val="none" w:sz="0" w:space="0" w:color="auto"/>
        <w:left w:val="none" w:sz="0" w:space="0" w:color="auto"/>
        <w:bottom w:val="none" w:sz="0" w:space="0" w:color="auto"/>
        <w:right w:val="none" w:sz="0" w:space="0" w:color="auto"/>
      </w:divBdr>
    </w:div>
    <w:div w:id="430510951">
      <w:bodyDiv w:val="1"/>
      <w:marLeft w:val="0"/>
      <w:marRight w:val="0"/>
      <w:marTop w:val="0"/>
      <w:marBottom w:val="0"/>
      <w:divBdr>
        <w:top w:val="none" w:sz="0" w:space="0" w:color="auto"/>
        <w:left w:val="none" w:sz="0" w:space="0" w:color="auto"/>
        <w:bottom w:val="none" w:sz="0" w:space="0" w:color="auto"/>
        <w:right w:val="none" w:sz="0" w:space="0" w:color="auto"/>
      </w:divBdr>
      <w:divsChild>
        <w:div w:id="1582107772">
          <w:marLeft w:val="475"/>
          <w:marRight w:val="0"/>
          <w:marTop w:val="115"/>
          <w:marBottom w:val="120"/>
          <w:divBdr>
            <w:top w:val="none" w:sz="0" w:space="0" w:color="auto"/>
            <w:left w:val="none" w:sz="0" w:space="0" w:color="auto"/>
            <w:bottom w:val="none" w:sz="0" w:space="0" w:color="auto"/>
            <w:right w:val="none" w:sz="0" w:space="0" w:color="auto"/>
          </w:divBdr>
        </w:div>
        <w:div w:id="1153570475">
          <w:marLeft w:val="475"/>
          <w:marRight w:val="0"/>
          <w:marTop w:val="115"/>
          <w:marBottom w:val="120"/>
          <w:divBdr>
            <w:top w:val="none" w:sz="0" w:space="0" w:color="auto"/>
            <w:left w:val="none" w:sz="0" w:space="0" w:color="auto"/>
            <w:bottom w:val="none" w:sz="0" w:space="0" w:color="auto"/>
            <w:right w:val="none" w:sz="0" w:space="0" w:color="auto"/>
          </w:divBdr>
        </w:div>
        <w:div w:id="1649242210">
          <w:marLeft w:val="475"/>
          <w:marRight w:val="0"/>
          <w:marTop w:val="115"/>
          <w:marBottom w:val="120"/>
          <w:divBdr>
            <w:top w:val="none" w:sz="0" w:space="0" w:color="auto"/>
            <w:left w:val="none" w:sz="0" w:space="0" w:color="auto"/>
            <w:bottom w:val="none" w:sz="0" w:space="0" w:color="auto"/>
            <w:right w:val="none" w:sz="0" w:space="0" w:color="auto"/>
          </w:divBdr>
        </w:div>
      </w:divsChild>
    </w:div>
    <w:div w:id="430593413">
      <w:bodyDiv w:val="1"/>
      <w:marLeft w:val="0"/>
      <w:marRight w:val="0"/>
      <w:marTop w:val="0"/>
      <w:marBottom w:val="0"/>
      <w:divBdr>
        <w:top w:val="none" w:sz="0" w:space="0" w:color="auto"/>
        <w:left w:val="none" w:sz="0" w:space="0" w:color="auto"/>
        <w:bottom w:val="none" w:sz="0" w:space="0" w:color="auto"/>
        <w:right w:val="none" w:sz="0" w:space="0" w:color="auto"/>
      </w:divBdr>
      <w:divsChild>
        <w:div w:id="963971402">
          <w:marLeft w:val="475"/>
          <w:marRight w:val="0"/>
          <w:marTop w:val="91"/>
          <w:marBottom w:val="120"/>
          <w:divBdr>
            <w:top w:val="none" w:sz="0" w:space="0" w:color="auto"/>
            <w:left w:val="none" w:sz="0" w:space="0" w:color="auto"/>
            <w:bottom w:val="none" w:sz="0" w:space="0" w:color="auto"/>
            <w:right w:val="none" w:sz="0" w:space="0" w:color="auto"/>
          </w:divBdr>
        </w:div>
        <w:div w:id="1502310161">
          <w:marLeft w:val="605"/>
          <w:marRight w:val="0"/>
          <w:marTop w:val="91"/>
          <w:marBottom w:val="120"/>
          <w:divBdr>
            <w:top w:val="none" w:sz="0" w:space="0" w:color="auto"/>
            <w:left w:val="none" w:sz="0" w:space="0" w:color="auto"/>
            <w:bottom w:val="none" w:sz="0" w:space="0" w:color="auto"/>
            <w:right w:val="none" w:sz="0" w:space="0" w:color="auto"/>
          </w:divBdr>
        </w:div>
        <w:div w:id="1245070581">
          <w:marLeft w:val="605"/>
          <w:marRight w:val="0"/>
          <w:marTop w:val="91"/>
          <w:marBottom w:val="120"/>
          <w:divBdr>
            <w:top w:val="none" w:sz="0" w:space="0" w:color="auto"/>
            <w:left w:val="none" w:sz="0" w:space="0" w:color="auto"/>
            <w:bottom w:val="none" w:sz="0" w:space="0" w:color="auto"/>
            <w:right w:val="none" w:sz="0" w:space="0" w:color="auto"/>
          </w:divBdr>
        </w:div>
        <w:div w:id="102892918">
          <w:marLeft w:val="605"/>
          <w:marRight w:val="0"/>
          <w:marTop w:val="91"/>
          <w:marBottom w:val="120"/>
          <w:divBdr>
            <w:top w:val="none" w:sz="0" w:space="0" w:color="auto"/>
            <w:left w:val="none" w:sz="0" w:space="0" w:color="auto"/>
            <w:bottom w:val="none" w:sz="0" w:space="0" w:color="auto"/>
            <w:right w:val="none" w:sz="0" w:space="0" w:color="auto"/>
          </w:divBdr>
        </w:div>
        <w:div w:id="366030025">
          <w:marLeft w:val="605"/>
          <w:marRight w:val="0"/>
          <w:marTop w:val="91"/>
          <w:marBottom w:val="120"/>
          <w:divBdr>
            <w:top w:val="none" w:sz="0" w:space="0" w:color="auto"/>
            <w:left w:val="none" w:sz="0" w:space="0" w:color="auto"/>
            <w:bottom w:val="none" w:sz="0" w:space="0" w:color="auto"/>
            <w:right w:val="none" w:sz="0" w:space="0" w:color="auto"/>
          </w:divBdr>
        </w:div>
        <w:div w:id="422529466">
          <w:marLeft w:val="605"/>
          <w:marRight w:val="0"/>
          <w:marTop w:val="91"/>
          <w:marBottom w:val="120"/>
          <w:divBdr>
            <w:top w:val="none" w:sz="0" w:space="0" w:color="auto"/>
            <w:left w:val="none" w:sz="0" w:space="0" w:color="auto"/>
            <w:bottom w:val="none" w:sz="0" w:space="0" w:color="auto"/>
            <w:right w:val="none" w:sz="0" w:space="0" w:color="auto"/>
          </w:divBdr>
        </w:div>
        <w:div w:id="831487496">
          <w:marLeft w:val="605"/>
          <w:marRight w:val="0"/>
          <w:marTop w:val="91"/>
          <w:marBottom w:val="120"/>
          <w:divBdr>
            <w:top w:val="none" w:sz="0" w:space="0" w:color="auto"/>
            <w:left w:val="none" w:sz="0" w:space="0" w:color="auto"/>
            <w:bottom w:val="none" w:sz="0" w:space="0" w:color="auto"/>
            <w:right w:val="none" w:sz="0" w:space="0" w:color="auto"/>
          </w:divBdr>
        </w:div>
        <w:div w:id="1858888699">
          <w:marLeft w:val="605"/>
          <w:marRight w:val="0"/>
          <w:marTop w:val="91"/>
          <w:marBottom w:val="120"/>
          <w:divBdr>
            <w:top w:val="none" w:sz="0" w:space="0" w:color="auto"/>
            <w:left w:val="none" w:sz="0" w:space="0" w:color="auto"/>
            <w:bottom w:val="none" w:sz="0" w:space="0" w:color="auto"/>
            <w:right w:val="none" w:sz="0" w:space="0" w:color="auto"/>
          </w:divBdr>
        </w:div>
        <w:div w:id="1499953761">
          <w:marLeft w:val="605"/>
          <w:marRight w:val="0"/>
          <w:marTop w:val="91"/>
          <w:marBottom w:val="120"/>
          <w:divBdr>
            <w:top w:val="none" w:sz="0" w:space="0" w:color="auto"/>
            <w:left w:val="none" w:sz="0" w:space="0" w:color="auto"/>
            <w:bottom w:val="none" w:sz="0" w:space="0" w:color="auto"/>
            <w:right w:val="none" w:sz="0" w:space="0" w:color="auto"/>
          </w:divBdr>
        </w:div>
      </w:divsChild>
    </w:div>
    <w:div w:id="431514196">
      <w:bodyDiv w:val="1"/>
      <w:marLeft w:val="0"/>
      <w:marRight w:val="0"/>
      <w:marTop w:val="0"/>
      <w:marBottom w:val="0"/>
      <w:divBdr>
        <w:top w:val="none" w:sz="0" w:space="0" w:color="auto"/>
        <w:left w:val="none" w:sz="0" w:space="0" w:color="auto"/>
        <w:bottom w:val="none" w:sz="0" w:space="0" w:color="auto"/>
        <w:right w:val="none" w:sz="0" w:space="0" w:color="auto"/>
      </w:divBdr>
    </w:div>
    <w:div w:id="456874766">
      <w:bodyDiv w:val="1"/>
      <w:marLeft w:val="0"/>
      <w:marRight w:val="0"/>
      <w:marTop w:val="0"/>
      <w:marBottom w:val="0"/>
      <w:divBdr>
        <w:top w:val="none" w:sz="0" w:space="0" w:color="auto"/>
        <w:left w:val="none" w:sz="0" w:space="0" w:color="auto"/>
        <w:bottom w:val="none" w:sz="0" w:space="0" w:color="auto"/>
        <w:right w:val="none" w:sz="0" w:space="0" w:color="auto"/>
      </w:divBdr>
      <w:divsChild>
        <w:div w:id="1523780927">
          <w:marLeft w:val="475"/>
          <w:marRight w:val="0"/>
          <w:marTop w:val="115"/>
          <w:marBottom w:val="120"/>
          <w:divBdr>
            <w:top w:val="none" w:sz="0" w:space="0" w:color="auto"/>
            <w:left w:val="none" w:sz="0" w:space="0" w:color="auto"/>
            <w:bottom w:val="none" w:sz="0" w:space="0" w:color="auto"/>
            <w:right w:val="none" w:sz="0" w:space="0" w:color="auto"/>
          </w:divBdr>
        </w:div>
        <w:div w:id="1880897277">
          <w:marLeft w:val="475"/>
          <w:marRight w:val="0"/>
          <w:marTop w:val="115"/>
          <w:marBottom w:val="120"/>
          <w:divBdr>
            <w:top w:val="none" w:sz="0" w:space="0" w:color="auto"/>
            <w:left w:val="none" w:sz="0" w:space="0" w:color="auto"/>
            <w:bottom w:val="none" w:sz="0" w:space="0" w:color="auto"/>
            <w:right w:val="none" w:sz="0" w:space="0" w:color="auto"/>
          </w:divBdr>
        </w:div>
        <w:div w:id="226721781">
          <w:marLeft w:val="475"/>
          <w:marRight w:val="0"/>
          <w:marTop w:val="115"/>
          <w:marBottom w:val="120"/>
          <w:divBdr>
            <w:top w:val="none" w:sz="0" w:space="0" w:color="auto"/>
            <w:left w:val="none" w:sz="0" w:space="0" w:color="auto"/>
            <w:bottom w:val="none" w:sz="0" w:space="0" w:color="auto"/>
            <w:right w:val="none" w:sz="0" w:space="0" w:color="auto"/>
          </w:divBdr>
        </w:div>
      </w:divsChild>
    </w:div>
    <w:div w:id="479615629">
      <w:bodyDiv w:val="1"/>
      <w:marLeft w:val="0"/>
      <w:marRight w:val="0"/>
      <w:marTop w:val="0"/>
      <w:marBottom w:val="0"/>
      <w:divBdr>
        <w:top w:val="none" w:sz="0" w:space="0" w:color="auto"/>
        <w:left w:val="none" w:sz="0" w:space="0" w:color="auto"/>
        <w:bottom w:val="none" w:sz="0" w:space="0" w:color="auto"/>
        <w:right w:val="none" w:sz="0" w:space="0" w:color="auto"/>
      </w:divBdr>
      <w:divsChild>
        <w:div w:id="802773095">
          <w:marLeft w:val="288"/>
          <w:marRight w:val="0"/>
          <w:marTop w:val="115"/>
          <w:marBottom w:val="120"/>
          <w:divBdr>
            <w:top w:val="none" w:sz="0" w:space="0" w:color="auto"/>
            <w:left w:val="none" w:sz="0" w:space="0" w:color="auto"/>
            <w:bottom w:val="none" w:sz="0" w:space="0" w:color="auto"/>
            <w:right w:val="none" w:sz="0" w:space="0" w:color="auto"/>
          </w:divBdr>
        </w:div>
        <w:div w:id="1798791800">
          <w:marLeft w:val="288"/>
          <w:marRight w:val="0"/>
          <w:marTop w:val="115"/>
          <w:marBottom w:val="120"/>
          <w:divBdr>
            <w:top w:val="none" w:sz="0" w:space="0" w:color="auto"/>
            <w:left w:val="none" w:sz="0" w:space="0" w:color="auto"/>
            <w:bottom w:val="none" w:sz="0" w:space="0" w:color="auto"/>
            <w:right w:val="none" w:sz="0" w:space="0" w:color="auto"/>
          </w:divBdr>
        </w:div>
        <w:div w:id="67391504">
          <w:marLeft w:val="288"/>
          <w:marRight w:val="0"/>
          <w:marTop w:val="115"/>
          <w:marBottom w:val="120"/>
          <w:divBdr>
            <w:top w:val="none" w:sz="0" w:space="0" w:color="auto"/>
            <w:left w:val="none" w:sz="0" w:space="0" w:color="auto"/>
            <w:bottom w:val="none" w:sz="0" w:space="0" w:color="auto"/>
            <w:right w:val="none" w:sz="0" w:space="0" w:color="auto"/>
          </w:divBdr>
        </w:div>
        <w:div w:id="1136491849">
          <w:marLeft w:val="288"/>
          <w:marRight w:val="0"/>
          <w:marTop w:val="115"/>
          <w:marBottom w:val="120"/>
          <w:divBdr>
            <w:top w:val="none" w:sz="0" w:space="0" w:color="auto"/>
            <w:left w:val="none" w:sz="0" w:space="0" w:color="auto"/>
            <w:bottom w:val="none" w:sz="0" w:space="0" w:color="auto"/>
            <w:right w:val="none" w:sz="0" w:space="0" w:color="auto"/>
          </w:divBdr>
        </w:div>
        <w:div w:id="2113427435">
          <w:marLeft w:val="288"/>
          <w:marRight w:val="0"/>
          <w:marTop w:val="115"/>
          <w:marBottom w:val="120"/>
          <w:divBdr>
            <w:top w:val="none" w:sz="0" w:space="0" w:color="auto"/>
            <w:left w:val="none" w:sz="0" w:space="0" w:color="auto"/>
            <w:bottom w:val="none" w:sz="0" w:space="0" w:color="auto"/>
            <w:right w:val="none" w:sz="0" w:space="0" w:color="auto"/>
          </w:divBdr>
        </w:div>
        <w:div w:id="2130119882">
          <w:marLeft w:val="288"/>
          <w:marRight w:val="0"/>
          <w:marTop w:val="115"/>
          <w:marBottom w:val="120"/>
          <w:divBdr>
            <w:top w:val="none" w:sz="0" w:space="0" w:color="auto"/>
            <w:left w:val="none" w:sz="0" w:space="0" w:color="auto"/>
            <w:bottom w:val="none" w:sz="0" w:space="0" w:color="auto"/>
            <w:right w:val="none" w:sz="0" w:space="0" w:color="auto"/>
          </w:divBdr>
        </w:div>
      </w:divsChild>
    </w:div>
    <w:div w:id="489947240">
      <w:bodyDiv w:val="1"/>
      <w:marLeft w:val="0"/>
      <w:marRight w:val="0"/>
      <w:marTop w:val="0"/>
      <w:marBottom w:val="0"/>
      <w:divBdr>
        <w:top w:val="none" w:sz="0" w:space="0" w:color="auto"/>
        <w:left w:val="none" w:sz="0" w:space="0" w:color="auto"/>
        <w:bottom w:val="none" w:sz="0" w:space="0" w:color="auto"/>
        <w:right w:val="none" w:sz="0" w:space="0" w:color="auto"/>
      </w:divBdr>
    </w:div>
    <w:div w:id="518743451">
      <w:bodyDiv w:val="1"/>
      <w:marLeft w:val="0"/>
      <w:marRight w:val="0"/>
      <w:marTop w:val="0"/>
      <w:marBottom w:val="0"/>
      <w:divBdr>
        <w:top w:val="none" w:sz="0" w:space="0" w:color="auto"/>
        <w:left w:val="none" w:sz="0" w:space="0" w:color="auto"/>
        <w:bottom w:val="none" w:sz="0" w:space="0" w:color="auto"/>
        <w:right w:val="none" w:sz="0" w:space="0" w:color="auto"/>
      </w:divBdr>
    </w:div>
    <w:div w:id="530609570">
      <w:bodyDiv w:val="1"/>
      <w:marLeft w:val="0"/>
      <w:marRight w:val="0"/>
      <w:marTop w:val="0"/>
      <w:marBottom w:val="0"/>
      <w:divBdr>
        <w:top w:val="none" w:sz="0" w:space="0" w:color="auto"/>
        <w:left w:val="none" w:sz="0" w:space="0" w:color="auto"/>
        <w:bottom w:val="none" w:sz="0" w:space="0" w:color="auto"/>
        <w:right w:val="none" w:sz="0" w:space="0" w:color="auto"/>
      </w:divBdr>
      <w:divsChild>
        <w:div w:id="561869053">
          <w:marLeft w:val="288"/>
          <w:marRight w:val="0"/>
          <w:marTop w:val="115"/>
          <w:marBottom w:val="120"/>
          <w:divBdr>
            <w:top w:val="none" w:sz="0" w:space="0" w:color="auto"/>
            <w:left w:val="none" w:sz="0" w:space="0" w:color="auto"/>
            <w:bottom w:val="none" w:sz="0" w:space="0" w:color="auto"/>
            <w:right w:val="none" w:sz="0" w:space="0" w:color="auto"/>
          </w:divBdr>
        </w:div>
        <w:div w:id="1764496219">
          <w:marLeft w:val="288"/>
          <w:marRight w:val="0"/>
          <w:marTop w:val="115"/>
          <w:marBottom w:val="120"/>
          <w:divBdr>
            <w:top w:val="none" w:sz="0" w:space="0" w:color="auto"/>
            <w:left w:val="none" w:sz="0" w:space="0" w:color="auto"/>
            <w:bottom w:val="none" w:sz="0" w:space="0" w:color="auto"/>
            <w:right w:val="none" w:sz="0" w:space="0" w:color="auto"/>
          </w:divBdr>
        </w:div>
        <w:div w:id="489948121">
          <w:marLeft w:val="288"/>
          <w:marRight w:val="0"/>
          <w:marTop w:val="115"/>
          <w:marBottom w:val="120"/>
          <w:divBdr>
            <w:top w:val="none" w:sz="0" w:space="0" w:color="auto"/>
            <w:left w:val="none" w:sz="0" w:space="0" w:color="auto"/>
            <w:bottom w:val="none" w:sz="0" w:space="0" w:color="auto"/>
            <w:right w:val="none" w:sz="0" w:space="0" w:color="auto"/>
          </w:divBdr>
        </w:div>
        <w:div w:id="483590247">
          <w:marLeft w:val="288"/>
          <w:marRight w:val="0"/>
          <w:marTop w:val="115"/>
          <w:marBottom w:val="120"/>
          <w:divBdr>
            <w:top w:val="none" w:sz="0" w:space="0" w:color="auto"/>
            <w:left w:val="none" w:sz="0" w:space="0" w:color="auto"/>
            <w:bottom w:val="none" w:sz="0" w:space="0" w:color="auto"/>
            <w:right w:val="none" w:sz="0" w:space="0" w:color="auto"/>
          </w:divBdr>
        </w:div>
        <w:div w:id="987900291">
          <w:marLeft w:val="288"/>
          <w:marRight w:val="0"/>
          <w:marTop w:val="115"/>
          <w:marBottom w:val="120"/>
          <w:divBdr>
            <w:top w:val="none" w:sz="0" w:space="0" w:color="auto"/>
            <w:left w:val="none" w:sz="0" w:space="0" w:color="auto"/>
            <w:bottom w:val="none" w:sz="0" w:space="0" w:color="auto"/>
            <w:right w:val="none" w:sz="0" w:space="0" w:color="auto"/>
          </w:divBdr>
        </w:div>
      </w:divsChild>
    </w:div>
    <w:div w:id="544103535">
      <w:bodyDiv w:val="1"/>
      <w:marLeft w:val="0"/>
      <w:marRight w:val="0"/>
      <w:marTop w:val="0"/>
      <w:marBottom w:val="0"/>
      <w:divBdr>
        <w:top w:val="none" w:sz="0" w:space="0" w:color="auto"/>
        <w:left w:val="none" w:sz="0" w:space="0" w:color="auto"/>
        <w:bottom w:val="none" w:sz="0" w:space="0" w:color="auto"/>
        <w:right w:val="none" w:sz="0" w:space="0" w:color="auto"/>
      </w:divBdr>
      <w:divsChild>
        <w:div w:id="61415421">
          <w:marLeft w:val="475"/>
          <w:marRight w:val="0"/>
          <w:marTop w:val="82"/>
          <w:marBottom w:val="120"/>
          <w:divBdr>
            <w:top w:val="none" w:sz="0" w:space="0" w:color="auto"/>
            <w:left w:val="none" w:sz="0" w:space="0" w:color="auto"/>
            <w:bottom w:val="none" w:sz="0" w:space="0" w:color="auto"/>
            <w:right w:val="none" w:sz="0" w:space="0" w:color="auto"/>
          </w:divBdr>
        </w:div>
        <w:div w:id="444740601">
          <w:marLeft w:val="475"/>
          <w:marRight w:val="0"/>
          <w:marTop w:val="82"/>
          <w:marBottom w:val="120"/>
          <w:divBdr>
            <w:top w:val="none" w:sz="0" w:space="0" w:color="auto"/>
            <w:left w:val="none" w:sz="0" w:space="0" w:color="auto"/>
            <w:bottom w:val="none" w:sz="0" w:space="0" w:color="auto"/>
            <w:right w:val="none" w:sz="0" w:space="0" w:color="auto"/>
          </w:divBdr>
        </w:div>
        <w:div w:id="960265312">
          <w:marLeft w:val="475"/>
          <w:marRight w:val="0"/>
          <w:marTop w:val="82"/>
          <w:marBottom w:val="120"/>
          <w:divBdr>
            <w:top w:val="none" w:sz="0" w:space="0" w:color="auto"/>
            <w:left w:val="none" w:sz="0" w:space="0" w:color="auto"/>
            <w:bottom w:val="none" w:sz="0" w:space="0" w:color="auto"/>
            <w:right w:val="none" w:sz="0" w:space="0" w:color="auto"/>
          </w:divBdr>
        </w:div>
        <w:div w:id="1590502096">
          <w:marLeft w:val="994"/>
          <w:marRight w:val="0"/>
          <w:marTop w:val="82"/>
          <w:marBottom w:val="120"/>
          <w:divBdr>
            <w:top w:val="none" w:sz="0" w:space="0" w:color="auto"/>
            <w:left w:val="none" w:sz="0" w:space="0" w:color="auto"/>
            <w:bottom w:val="none" w:sz="0" w:space="0" w:color="auto"/>
            <w:right w:val="none" w:sz="0" w:space="0" w:color="auto"/>
          </w:divBdr>
        </w:div>
      </w:divsChild>
    </w:div>
    <w:div w:id="547566571">
      <w:bodyDiv w:val="1"/>
      <w:marLeft w:val="0"/>
      <w:marRight w:val="0"/>
      <w:marTop w:val="0"/>
      <w:marBottom w:val="0"/>
      <w:divBdr>
        <w:top w:val="none" w:sz="0" w:space="0" w:color="auto"/>
        <w:left w:val="none" w:sz="0" w:space="0" w:color="auto"/>
        <w:bottom w:val="none" w:sz="0" w:space="0" w:color="auto"/>
        <w:right w:val="none" w:sz="0" w:space="0" w:color="auto"/>
      </w:divBdr>
      <w:divsChild>
        <w:div w:id="1193424267">
          <w:marLeft w:val="0"/>
          <w:marRight w:val="0"/>
          <w:marTop w:val="0"/>
          <w:marBottom w:val="0"/>
          <w:divBdr>
            <w:top w:val="none" w:sz="0" w:space="0" w:color="auto"/>
            <w:left w:val="none" w:sz="0" w:space="0" w:color="auto"/>
            <w:bottom w:val="none" w:sz="0" w:space="0" w:color="auto"/>
            <w:right w:val="none" w:sz="0" w:space="0" w:color="auto"/>
          </w:divBdr>
        </w:div>
      </w:divsChild>
    </w:div>
    <w:div w:id="550075273">
      <w:bodyDiv w:val="1"/>
      <w:marLeft w:val="0"/>
      <w:marRight w:val="0"/>
      <w:marTop w:val="0"/>
      <w:marBottom w:val="0"/>
      <w:divBdr>
        <w:top w:val="none" w:sz="0" w:space="0" w:color="auto"/>
        <w:left w:val="none" w:sz="0" w:space="0" w:color="auto"/>
        <w:bottom w:val="none" w:sz="0" w:space="0" w:color="auto"/>
        <w:right w:val="none" w:sz="0" w:space="0" w:color="auto"/>
      </w:divBdr>
      <w:divsChild>
        <w:div w:id="534584496">
          <w:marLeft w:val="288"/>
          <w:marRight w:val="0"/>
          <w:marTop w:val="115"/>
          <w:marBottom w:val="120"/>
          <w:divBdr>
            <w:top w:val="none" w:sz="0" w:space="0" w:color="auto"/>
            <w:left w:val="none" w:sz="0" w:space="0" w:color="auto"/>
            <w:bottom w:val="none" w:sz="0" w:space="0" w:color="auto"/>
            <w:right w:val="none" w:sz="0" w:space="0" w:color="auto"/>
          </w:divBdr>
        </w:div>
        <w:div w:id="1442189217">
          <w:marLeft w:val="288"/>
          <w:marRight w:val="0"/>
          <w:marTop w:val="115"/>
          <w:marBottom w:val="120"/>
          <w:divBdr>
            <w:top w:val="none" w:sz="0" w:space="0" w:color="auto"/>
            <w:left w:val="none" w:sz="0" w:space="0" w:color="auto"/>
            <w:bottom w:val="none" w:sz="0" w:space="0" w:color="auto"/>
            <w:right w:val="none" w:sz="0" w:space="0" w:color="auto"/>
          </w:divBdr>
        </w:div>
        <w:div w:id="1901548624">
          <w:marLeft w:val="288"/>
          <w:marRight w:val="0"/>
          <w:marTop w:val="115"/>
          <w:marBottom w:val="120"/>
          <w:divBdr>
            <w:top w:val="none" w:sz="0" w:space="0" w:color="auto"/>
            <w:left w:val="none" w:sz="0" w:space="0" w:color="auto"/>
            <w:bottom w:val="none" w:sz="0" w:space="0" w:color="auto"/>
            <w:right w:val="none" w:sz="0" w:space="0" w:color="auto"/>
          </w:divBdr>
        </w:div>
      </w:divsChild>
    </w:div>
    <w:div w:id="595289186">
      <w:bodyDiv w:val="1"/>
      <w:marLeft w:val="0"/>
      <w:marRight w:val="0"/>
      <w:marTop w:val="0"/>
      <w:marBottom w:val="0"/>
      <w:divBdr>
        <w:top w:val="none" w:sz="0" w:space="0" w:color="auto"/>
        <w:left w:val="none" w:sz="0" w:space="0" w:color="auto"/>
        <w:bottom w:val="none" w:sz="0" w:space="0" w:color="auto"/>
        <w:right w:val="none" w:sz="0" w:space="0" w:color="auto"/>
      </w:divBdr>
      <w:divsChild>
        <w:div w:id="1829252281">
          <w:marLeft w:val="907"/>
          <w:marRight w:val="0"/>
          <w:marTop w:val="0"/>
          <w:marBottom w:val="0"/>
          <w:divBdr>
            <w:top w:val="none" w:sz="0" w:space="0" w:color="auto"/>
            <w:left w:val="none" w:sz="0" w:space="0" w:color="auto"/>
            <w:bottom w:val="none" w:sz="0" w:space="0" w:color="auto"/>
            <w:right w:val="none" w:sz="0" w:space="0" w:color="auto"/>
          </w:divBdr>
        </w:div>
        <w:div w:id="933248901">
          <w:marLeft w:val="907"/>
          <w:marRight w:val="0"/>
          <w:marTop w:val="0"/>
          <w:marBottom w:val="0"/>
          <w:divBdr>
            <w:top w:val="none" w:sz="0" w:space="0" w:color="auto"/>
            <w:left w:val="none" w:sz="0" w:space="0" w:color="auto"/>
            <w:bottom w:val="none" w:sz="0" w:space="0" w:color="auto"/>
            <w:right w:val="none" w:sz="0" w:space="0" w:color="auto"/>
          </w:divBdr>
        </w:div>
        <w:div w:id="112284133">
          <w:marLeft w:val="907"/>
          <w:marRight w:val="0"/>
          <w:marTop w:val="0"/>
          <w:marBottom w:val="0"/>
          <w:divBdr>
            <w:top w:val="none" w:sz="0" w:space="0" w:color="auto"/>
            <w:left w:val="none" w:sz="0" w:space="0" w:color="auto"/>
            <w:bottom w:val="none" w:sz="0" w:space="0" w:color="auto"/>
            <w:right w:val="none" w:sz="0" w:space="0" w:color="auto"/>
          </w:divBdr>
        </w:div>
        <w:div w:id="1501695324">
          <w:marLeft w:val="907"/>
          <w:marRight w:val="0"/>
          <w:marTop w:val="0"/>
          <w:marBottom w:val="0"/>
          <w:divBdr>
            <w:top w:val="none" w:sz="0" w:space="0" w:color="auto"/>
            <w:left w:val="none" w:sz="0" w:space="0" w:color="auto"/>
            <w:bottom w:val="none" w:sz="0" w:space="0" w:color="auto"/>
            <w:right w:val="none" w:sz="0" w:space="0" w:color="auto"/>
          </w:divBdr>
        </w:div>
        <w:div w:id="551968556">
          <w:marLeft w:val="907"/>
          <w:marRight w:val="0"/>
          <w:marTop w:val="0"/>
          <w:marBottom w:val="0"/>
          <w:divBdr>
            <w:top w:val="none" w:sz="0" w:space="0" w:color="auto"/>
            <w:left w:val="none" w:sz="0" w:space="0" w:color="auto"/>
            <w:bottom w:val="none" w:sz="0" w:space="0" w:color="auto"/>
            <w:right w:val="none" w:sz="0" w:space="0" w:color="auto"/>
          </w:divBdr>
        </w:div>
        <w:div w:id="2073767105">
          <w:marLeft w:val="907"/>
          <w:marRight w:val="0"/>
          <w:marTop w:val="0"/>
          <w:marBottom w:val="0"/>
          <w:divBdr>
            <w:top w:val="none" w:sz="0" w:space="0" w:color="auto"/>
            <w:left w:val="none" w:sz="0" w:space="0" w:color="auto"/>
            <w:bottom w:val="none" w:sz="0" w:space="0" w:color="auto"/>
            <w:right w:val="none" w:sz="0" w:space="0" w:color="auto"/>
          </w:divBdr>
        </w:div>
        <w:div w:id="788819142">
          <w:marLeft w:val="907"/>
          <w:marRight w:val="0"/>
          <w:marTop w:val="0"/>
          <w:marBottom w:val="0"/>
          <w:divBdr>
            <w:top w:val="none" w:sz="0" w:space="0" w:color="auto"/>
            <w:left w:val="none" w:sz="0" w:space="0" w:color="auto"/>
            <w:bottom w:val="none" w:sz="0" w:space="0" w:color="auto"/>
            <w:right w:val="none" w:sz="0" w:space="0" w:color="auto"/>
          </w:divBdr>
        </w:div>
      </w:divsChild>
    </w:div>
    <w:div w:id="614362785">
      <w:bodyDiv w:val="1"/>
      <w:marLeft w:val="0"/>
      <w:marRight w:val="0"/>
      <w:marTop w:val="0"/>
      <w:marBottom w:val="0"/>
      <w:divBdr>
        <w:top w:val="none" w:sz="0" w:space="0" w:color="auto"/>
        <w:left w:val="none" w:sz="0" w:space="0" w:color="auto"/>
        <w:bottom w:val="none" w:sz="0" w:space="0" w:color="auto"/>
        <w:right w:val="none" w:sz="0" w:space="0" w:color="auto"/>
      </w:divBdr>
      <w:divsChild>
        <w:div w:id="976880975">
          <w:marLeft w:val="288"/>
          <w:marRight w:val="0"/>
          <w:marTop w:val="106"/>
          <w:marBottom w:val="120"/>
          <w:divBdr>
            <w:top w:val="none" w:sz="0" w:space="0" w:color="auto"/>
            <w:left w:val="none" w:sz="0" w:space="0" w:color="auto"/>
            <w:bottom w:val="none" w:sz="0" w:space="0" w:color="auto"/>
            <w:right w:val="none" w:sz="0" w:space="0" w:color="auto"/>
          </w:divBdr>
        </w:div>
        <w:div w:id="1023365276">
          <w:marLeft w:val="288"/>
          <w:marRight w:val="0"/>
          <w:marTop w:val="106"/>
          <w:marBottom w:val="120"/>
          <w:divBdr>
            <w:top w:val="none" w:sz="0" w:space="0" w:color="auto"/>
            <w:left w:val="none" w:sz="0" w:space="0" w:color="auto"/>
            <w:bottom w:val="none" w:sz="0" w:space="0" w:color="auto"/>
            <w:right w:val="none" w:sz="0" w:space="0" w:color="auto"/>
          </w:divBdr>
        </w:div>
        <w:div w:id="2067678260">
          <w:marLeft w:val="288"/>
          <w:marRight w:val="0"/>
          <w:marTop w:val="106"/>
          <w:marBottom w:val="120"/>
          <w:divBdr>
            <w:top w:val="none" w:sz="0" w:space="0" w:color="auto"/>
            <w:left w:val="none" w:sz="0" w:space="0" w:color="auto"/>
            <w:bottom w:val="none" w:sz="0" w:space="0" w:color="auto"/>
            <w:right w:val="none" w:sz="0" w:space="0" w:color="auto"/>
          </w:divBdr>
        </w:div>
        <w:div w:id="1937057433">
          <w:marLeft w:val="288"/>
          <w:marRight w:val="0"/>
          <w:marTop w:val="106"/>
          <w:marBottom w:val="120"/>
          <w:divBdr>
            <w:top w:val="none" w:sz="0" w:space="0" w:color="auto"/>
            <w:left w:val="none" w:sz="0" w:space="0" w:color="auto"/>
            <w:bottom w:val="none" w:sz="0" w:space="0" w:color="auto"/>
            <w:right w:val="none" w:sz="0" w:space="0" w:color="auto"/>
          </w:divBdr>
        </w:div>
        <w:div w:id="1378235747">
          <w:marLeft w:val="288"/>
          <w:marRight w:val="0"/>
          <w:marTop w:val="106"/>
          <w:marBottom w:val="120"/>
          <w:divBdr>
            <w:top w:val="none" w:sz="0" w:space="0" w:color="auto"/>
            <w:left w:val="none" w:sz="0" w:space="0" w:color="auto"/>
            <w:bottom w:val="none" w:sz="0" w:space="0" w:color="auto"/>
            <w:right w:val="none" w:sz="0" w:space="0" w:color="auto"/>
          </w:divBdr>
        </w:div>
        <w:div w:id="828058131">
          <w:marLeft w:val="288"/>
          <w:marRight w:val="0"/>
          <w:marTop w:val="106"/>
          <w:marBottom w:val="120"/>
          <w:divBdr>
            <w:top w:val="none" w:sz="0" w:space="0" w:color="auto"/>
            <w:left w:val="none" w:sz="0" w:space="0" w:color="auto"/>
            <w:bottom w:val="none" w:sz="0" w:space="0" w:color="auto"/>
            <w:right w:val="none" w:sz="0" w:space="0" w:color="auto"/>
          </w:divBdr>
        </w:div>
        <w:div w:id="1260984109">
          <w:marLeft w:val="288"/>
          <w:marRight w:val="0"/>
          <w:marTop w:val="106"/>
          <w:marBottom w:val="120"/>
          <w:divBdr>
            <w:top w:val="none" w:sz="0" w:space="0" w:color="auto"/>
            <w:left w:val="none" w:sz="0" w:space="0" w:color="auto"/>
            <w:bottom w:val="none" w:sz="0" w:space="0" w:color="auto"/>
            <w:right w:val="none" w:sz="0" w:space="0" w:color="auto"/>
          </w:divBdr>
        </w:div>
      </w:divsChild>
    </w:div>
    <w:div w:id="656963065">
      <w:bodyDiv w:val="1"/>
      <w:marLeft w:val="0"/>
      <w:marRight w:val="0"/>
      <w:marTop w:val="0"/>
      <w:marBottom w:val="0"/>
      <w:divBdr>
        <w:top w:val="none" w:sz="0" w:space="0" w:color="auto"/>
        <w:left w:val="none" w:sz="0" w:space="0" w:color="auto"/>
        <w:bottom w:val="none" w:sz="0" w:space="0" w:color="auto"/>
        <w:right w:val="none" w:sz="0" w:space="0" w:color="auto"/>
      </w:divBdr>
      <w:divsChild>
        <w:div w:id="2111393711">
          <w:marLeft w:val="288"/>
          <w:marRight w:val="0"/>
          <w:marTop w:val="96"/>
          <w:marBottom w:val="120"/>
          <w:divBdr>
            <w:top w:val="none" w:sz="0" w:space="0" w:color="auto"/>
            <w:left w:val="none" w:sz="0" w:space="0" w:color="auto"/>
            <w:bottom w:val="none" w:sz="0" w:space="0" w:color="auto"/>
            <w:right w:val="none" w:sz="0" w:space="0" w:color="auto"/>
          </w:divBdr>
        </w:div>
        <w:div w:id="1978491102">
          <w:marLeft w:val="288"/>
          <w:marRight w:val="0"/>
          <w:marTop w:val="96"/>
          <w:marBottom w:val="120"/>
          <w:divBdr>
            <w:top w:val="none" w:sz="0" w:space="0" w:color="auto"/>
            <w:left w:val="none" w:sz="0" w:space="0" w:color="auto"/>
            <w:bottom w:val="none" w:sz="0" w:space="0" w:color="auto"/>
            <w:right w:val="none" w:sz="0" w:space="0" w:color="auto"/>
          </w:divBdr>
        </w:div>
        <w:div w:id="1270816670">
          <w:marLeft w:val="432"/>
          <w:marRight w:val="0"/>
          <w:marTop w:val="96"/>
          <w:marBottom w:val="120"/>
          <w:divBdr>
            <w:top w:val="none" w:sz="0" w:space="0" w:color="auto"/>
            <w:left w:val="none" w:sz="0" w:space="0" w:color="auto"/>
            <w:bottom w:val="none" w:sz="0" w:space="0" w:color="auto"/>
            <w:right w:val="none" w:sz="0" w:space="0" w:color="auto"/>
          </w:divBdr>
        </w:div>
        <w:div w:id="1951155599">
          <w:marLeft w:val="432"/>
          <w:marRight w:val="0"/>
          <w:marTop w:val="96"/>
          <w:marBottom w:val="120"/>
          <w:divBdr>
            <w:top w:val="none" w:sz="0" w:space="0" w:color="auto"/>
            <w:left w:val="none" w:sz="0" w:space="0" w:color="auto"/>
            <w:bottom w:val="none" w:sz="0" w:space="0" w:color="auto"/>
            <w:right w:val="none" w:sz="0" w:space="0" w:color="auto"/>
          </w:divBdr>
        </w:div>
        <w:div w:id="496652927">
          <w:marLeft w:val="432"/>
          <w:marRight w:val="0"/>
          <w:marTop w:val="96"/>
          <w:marBottom w:val="120"/>
          <w:divBdr>
            <w:top w:val="none" w:sz="0" w:space="0" w:color="auto"/>
            <w:left w:val="none" w:sz="0" w:space="0" w:color="auto"/>
            <w:bottom w:val="none" w:sz="0" w:space="0" w:color="auto"/>
            <w:right w:val="none" w:sz="0" w:space="0" w:color="auto"/>
          </w:divBdr>
        </w:div>
        <w:div w:id="1362437494">
          <w:marLeft w:val="288"/>
          <w:marRight w:val="0"/>
          <w:marTop w:val="96"/>
          <w:marBottom w:val="120"/>
          <w:divBdr>
            <w:top w:val="none" w:sz="0" w:space="0" w:color="auto"/>
            <w:left w:val="none" w:sz="0" w:space="0" w:color="auto"/>
            <w:bottom w:val="none" w:sz="0" w:space="0" w:color="auto"/>
            <w:right w:val="none" w:sz="0" w:space="0" w:color="auto"/>
          </w:divBdr>
        </w:div>
        <w:div w:id="563217592">
          <w:marLeft w:val="432"/>
          <w:marRight w:val="0"/>
          <w:marTop w:val="96"/>
          <w:marBottom w:val="120"/>
          <w:divBdr>
            <w:top w:val="none" w:sz="0" w:space="0" w:color="auto"/>
            <w:left w:val="none" w:sz="0" w:space="0" w:color="auto"/>
            <w:bottom w:val="none" w:sz="0" w:space="0" w:color="auto"/>
            <w:right w:val="none" w:sz="0" w:space="0" w:color="auto"/>
          </w:divBdr>
        </w:div>
        <w:div w:id="1791777954">
          <w:marLeft w:val="432"/>
          <w:marRight w:val="0"/>
          <w:marTop w:val="96"/>
          <w:marBottom w:val="120"/>
          <w:divBdr>
            <w:top w:val="none" w:sz="0" w:space="0" w:color="auto"/>
            <w:left w:val="none" w:sz="0" w:space="0" w:color="auto"/>
            <w:bottom w:val="none" w:sz="0" w:space="0" w:color="auto"/>
            <w:right w:val="none" w:sz="0" w:space="0" w:color="auto"/>
          </w:divBdr>
        </w:div>
        <w:div w:id="2132742856">
          <w:marLeft w:val="432"/>
          <w:marRight w:val="0"/>
          <w:marTop w:val="96"/>
          <w:marBottom w:val="120"/>
          <w:divBdr>
            <w:top w:val="none" w:sz="0" w:space="0" w:color="auto"/>
            <w:left w:val="none" w:sz="0" w:space="0" w:color="auto"/>
            <w:bottom w:val="none" w:sz="0" w:space="0" w:color="auto"/>
            <w:right w:val="none" w:sz="0" w:space="0" w:color="auto"/>
          </w:divBdr>
        </w:div>
        <w:div w:id="1617714607">
          <w:marLeft w:val="432"/>
          <w:marRight w:val="0"/>
          <w:marTop w:val="96"/>
          <w:marBottom w:val="120"/>
          <w:divBdr>
            <w:top w:val="none" w:sz="0" w:space="0" w:color="auto"/>
            <w:left w:val="none" w:sz="0" w:space="0" w:color="auto"/>
            <w:bottom w:val="none" w:sz="0" w:space="0" w:color="auto"/>
            <w:right w:val="none" w:sz="0" w:space="0" w:color="auto"/>
          </w:divBdr>
        </w:div>
      </w:divsChild>
    </w:div>
    <w:div w:id="706877687">
      <w:bodyDiv w:val="1"/>
      <w:marLeft w:val="0"/>
      <w:marRight w:val="0"/>
      <w:marTop w:val="0"/>
      <w:marBottom w:val="0"/>
      <w:divBdr>
        <w:top w:val="none" w:sz="0" w:space="0" w:color="auto"/>
        <w:left w:val="none" w:sz="0" w:space="0" w:color="auto"/>
        <w:bottom w:val="none" w:sz="0" w:space="0" w:color="auto"/>
        <w:right w:val="none" w:sz="0" w:space="0" w:color="auto"/>
      </w:divBdr>
      <w:divsChild>
        <w:div w:id="1921212884">
          <w:marLeft w:val="288"/>
          <w:marRight w:val="0"/>
          <w:marTop w:val="115"/>
          <w:marBottom w:val="120"/>
          <w:divBdr>
            <w:top w:val="none" w:sz="0" w:space="0" w:color="auto"/>
            <w:left w:val="none" w:sz="0" w:space="0" w:color="auto"/>
            <w:bottom w:val="none" w:sz="0" w:space="0" w:color="auto"/>
            <w:right w:val="none" w:sz="0" w:space="0" w:color="auto"/>
          </w:divBdr>
        </w:div>
        <w:div w:id="443306142">
          <w:marLeft w:val="288"/>
          <w:marRight w:val="0"/>
          <w:marTop w:val="115"/>
          <w:marBottom w:val="120"/>
          <w:divBdr>
            <w:top w:val="none" w:sz="0" w:space="0" w:color="auto"/>
            <w:left w:val="none" w:sz="0" w:space="0" w:color="auto"/>
            <w:bottom w:val="none" w:sz="0" w:space="0" w:color="auto"/>
            <w:right w:val="none" w:sz="0" w:space="0" w:color="auto"/>
          </w:divBdr>
        </w:div>
        <w:div w:id="1766805377">
          <w:marLeft w:val="288"/>
          <w:marRight w:val="0"/>
          <w:marTop w:val="115"/>
          <w:marBottom w:val="120"/>
          <w:divBdr>
            <w:top w:val="none" w:sz="0" w:space="0" w:color="auto"/>
            <w:left w:val="none" w:sz="0" w:space="0" w:color="auto"/>
            <w:bottom w:val="none" w:sz="0" w:space="0" w:color="auto"/>
            <w:right w:val="none" w:sz="0" w:space="0" w:color="auto"/>
          </w:divBdr>
        </w:div>
      </w:divsChild>
    </w:div>
    <w:div w:id="722756430">
      <w:bodyDiv w:val="1"/>
      <w:marLeft w:val="0"/>
      <w:marRight w:val="0"/>
      <w:marTop w:val="0"/>
      <w:marBottom w:val="0"/>
      <w:divBdr>
        <w:top w:val="none" w:sz="0" w:space="0" w:color="auto"/>
        <w:left w:val="none" w:sz="0" w:space="0" w:color="auto"/>
        <w:bottom w:val="none" w:sz="0" w:space="0" w:color="auto"/>
        <w:right w:val="none" w:sz="0" w:space="0" w:color="auto"/>
      </w:divBdr>
      <w:divsChild>
        <w:div w:id="1746802826">
          <w:marLeft w:val="475"/>
          <w:marRight w:val="0"/>
          <w:marTop w:val="91"/>
          <w:marBottom w:val="120"/>
          <w:divBdr>
            <w:top w:val="none" w:sz="0" w:space="0" w:color="auto"/>
            <w:left w:val="none" w:sz="0" w:space="0" w:color="auto"/>
            <w:bottom w:val="none" w:sz="0" w:space="0" w:color="auto"/>
            <w:right w:val="none" w:sz="0" w:space="0" w:color="auto"/>
          </w:divBdr>
        </w:div>
        <w:div w:id="1672831114">
          <w:marLeft w:val="475"/>
          <w:marRight w:val="0"/>
          <w:marTop w:val="91"/>
          <w:marBottom w:val="120"/>
          <w:divBdr>
            <w:top w:val="none" w:sz="0" w:space="0" w:color="auto"/>
            <w:left w:val="none" w:sz="0" w:space="0" w:color="auto"/>
            <w:bottom w:val="none" w:sz="0" w:space="0" w:color="auto"/>
            <w:right w:val="none" w:sz="0" w:space="0" w:color="auto"/>
          </w:divBdr>
        </w:div>
      </w:divsChild>
    </w:div>
    <w:div w:id="729959357">
      <w:bodyDiv w:val="1"/>
      <w:marLeft w:val="0"/>
      <w:marRight w:val="0"/>
      <w:marTop w:val="0"/>
      <w:marBottom w:val="0"/>
      <w:divBdr>
        <w:top w:val="none" w:sz="0" w:space="0" w:color="auto"/>
        <w:left w:val="none" w:sz="0" w:space="0" w:color="auto"/>
        <w:bottom w:val="none" w:sz="0" w:space="0" w:color="auto"/>
        <w:right w:val="none" w:sz="0" w:space="0" w:color="auto"/>
      </w:divBdr>
    </w:div>
    <w:div w:id="779494330">
      <w:bodyDiv w:val="1"/>
      <w:marLeft w:val="0"/>
      <w:marRight w:val="0"/>
      <w:marTop w:val="0"/>
      <w:marBottom w:val="0"/>
      <w:divBdr>
        <w:top w:val="none" w:sz="0" w:space="0" w:color="auto"/>
        <w:left w:val="none" w:sz="0" w:space="0" w:color="auto"/>
        <w:bottom w:val="none" w:sz="0" w:space="0" w:color="auto"/>
        <w:right w:val="none" w:sz="0" w:space="0" w:color="auto"/>
      </w:divBdr>
      <w:divsChild>
        <w:div w:id="24720205">
          <w:marLeft w:val="0"/>
          <w:marRight w:val="0"/>
          <w:marTop w:val="0"/>
          <w:marBottom w:val="0"/>
          <w:divBdr>
            <w:top w:val="none" w:sz="0" w:space="0" w:color="auto"/>
            <w:left w:val="none" w:sz="0" w:space="0" w:color="auto"/>
            <w:bottom w:val="none" w:sz="0" w:space="0" w:color="auto"/>
            <w:right w:val="none" w:sz="0" w:space="0" w:color="auto"/>
          </w:divBdr>
        </w:div>
      </w:divsChild>
    </w:div>
    <w:div w:id="825512911">
      <w:bodyDiv w:val="1"/>
      <w:marLeft w:val="0"/>
      <w:marRight w:val="0"/>
      <w:marTop w:val="0"/>
      <w:marBottom w:val="0"/>
      <w:divBdr>
        <w:top w:val="none" w:sz="0" w:space="0" w:color="auto"/>
        <w:left w:val="none" w:sz="0" w:space="0" w:color="auto"/>
        <w:bottom w:val="none" w:sz="0" w:space="0" w:color="auto"/>
        <w:right w:val="none" w:sz="0" w:space="0" w:color="auto"/>
      </w:divBdr>
    </w:div>
    <w:div w:id="844634636">
      <w:bodyDiv w:val="1"/>
      <w:marLeft w:val="0"/>
      <w:marRight w:val="0"/>
      <w:marTop w:val="0"/>
      <w:marBottom w:val="0"/>
      <w:divBdr>
        <w:top w:val="none" w:sz="0" w:space="0" w:color="auto"/>
        <w:left w:val="none" w:sz="0" w:space="0" w:color="auto"/>
        <w:bottom w:val="none" w:sz="0" w:space="0" w:color="auto"/>
        <w:right w:val="none" w:sz="0" w:space="0" w:color="auto"/>
      </w:divBdr>
    </w:div>
    <w:div w:id="924075945">
      <w:bodyDiv w:val="1"/>
      <w:marLeft w:val="0"/>
      <w:marRight w:val="0"/>
      <w:marTop w:val="0"/>
      <w:marBottom w:val="0"/>
      <w:divBdr>
        <w:top w:val="none" w:sz="0" w:space="0" w:color="auto"/>
        <w:left w:val="none" w:sz="0" w:space="0" w:color="auto"/>
        <w:bottom w:val="none" w:sz="0" w:space="0" w:color="auto"/>
        <w:right w:val="none" w:sz="0" w:space="0" w:color="auto"/>
      </w:divBdr>
      <w:divsChild>
        <w:div w:id="1993439373">
          <w:marLeft w:val="288"/>
          <w:marRight w:val="0"/>
          <w:marTop w:val="115"/>
          <w:marBottom w:val="120"/>
          <w:divBdr>
            <w:top w:val="none" w:sz="0" w:space="0" w:color="auto"/>
            <w:left w:val="none" w:sz="0" w:space="0" w:color="auto"/>
            <w:bottom w:val="none" w:sz="0" w:space="0" w:color="auto"/>
            <w:right w:val="none" w:sz="0" w:space="0" w:color="auto"/>
          </w:divBdr>
        </w:div>
        <w:div w:id="1183713480">
          <w:marLeft w:val="288"/>
          <w:marRight w:val="0"/>
          <w:marTop w:val="115"/>
          <w:marBottom w:val="120"/>
          <w:divBdr>
            <w:top w:val="none" w:sz="0" w:space="0" w:color="auto"/>
            <w:left w:val="none" w:sz="0" w:space="0" w:color="auto"/>
            <w:bottom w:val="none" w:sz="0" w:space="0" w:color="auto"/>
            <w:right w:val="none" w:sz="0" w:space="0" w:color="auto"/>
          </w:divBdr>
        </w:div>
        <w:div w:id="540703477">
          <w:marLeft w:val="288"/>
          <w:marRight w:val="0"/>
          <w:marTop w:val="115"/>
          <w:marBottom w:val="120"/>
          <w:divBdr>
            <w:top w:val="none" w:sz="0" w:space="0" w:color="auto"/>
            <w:left w:val="none" w:sz="0" w:space="0" w:color="auto"/>
            <w:bottom w:val="none" w:sz="0" w:space="0" w:color="auto"/>
            <w:right w:val="none" w:sz="0" w:space="0" w:color="auto"/>
          </w:divBdr>
        </w:div>
        <w:div w:id="1876886921">
          <w:marLeft w:val="288"/>
          <w:marRight w:val="0"/>
          <w:marTop w:val="115"/>
          <w:marBottom w:val="120"/>
          <w:divBdr>
            <w:top w:val="none" w:sz="0" w:space="0" w:color="auto"/>
            <w:left w:val="none" w:sz="0" w:space="0" w:color="auto"/>
            <w:bottom w:val="none" w:sz="0" w:space="0" w:color="auto"/>
            <w:right w:val="none" w:sz="0" w:space="0" w:color="auto"/>
          </w:divBdr>
        </w:div>
        <w:div w:id="775176855">
          <w:marLeft w:val="288"/>
          <w:marRight w:val="0"/>
          <w:marTop w:val="115"/>
          <w:marBottom w:val="120"/>
          <w:divBdr>
            <w:top w:val="none" w:sz="0" w:space="0" w:color="auto"/>
            <w:left w:val="none" w:sz="0" w:space="0" w:color="auto"/>
            <w:bottom w:val="none" w:sz="0" w:space="0" w:color="auto"/>
            <w:right w:val="none" w:sz="0" w:space="0" w:color="auto"/>
          </w:divBdr>
        </w:div>
      </w:divsChild>
    </w:div>
    <w:div w:id="927076903">
      <w:bodyDiv w:val="1"/>
      <w:marLeft w:val="0"/>
      <w:marRight w:val="0"/>
      <w:marTop w:val="0"/>
      <w:marBottom w:val="0"/>
      <w:divBdr>
        <w:top w:val="none" w:sz="0" w:space="0" w:color="auto"/>
        <w:left w:val="none" w:sz="0" w:space="0" w:color="auto"/>
        <w:bottom w:val="none" w:sz="0" w:space="0" w:color="auto"/>
        <w:right w:val="none" w:sz="0" w:space="0" w:color="auto"/>
      </w:divBdr>
    </w:div>
    <w:div w:id="953630115">
      <w:bodyDiv w:val="1"/>
      <w:marLeft w:val="0"/>
      <w:marRight w:val="0"/>
      <w:marTop w:val="0"/>
      <w:marBottom w:val="0"/>
      <w:divBdr>
        <w:top w:val="none" w:sz="0" w:space="0" w:color="auto"/>
        <w:left w:val="none" w:sz="0" w:space="0" w:color="auto"/>
        <w:bottom w:val="none" w:sz="0" w:space="0" w:color="auto"/>
        <w:right w:val="none" w:sz="0" w:space="0" w:color="auto"/>
      </w:divBdr>
      <w:divsChild>
        <w:div w:id="524293310">
          <w:marLeft w:val="475"/>
          <w:marRight w:val="0"/>
          <w:marTop w:val="91"/>
          <w:marBottom w:val="120"/>
          <w:divBdr>
            <w:top w:val="none" w:sz="0" w:space="0" w:color="auto"/>
            <w:left w:val="none" w:sz="0" w:space="0" w:color="auto"/>
            <w:bottom w:val="none" w:sz="0" w:space="0" w:color="auto"/>
            <w:right w:val="none" w:sz="0" w:space="0" w:color="auto"/>
          </w:divBdr>
        </w:div>
      </w:divsChild>
    </w:div>
    <w:div w:id="960234421">
      <w:bodyDiv w:val="1"/>
      <w:marLeft w:val="0"/>
      <w:marRight w:val="0"/>
      <w:marTop w:val="0"/>
      <w:marBottom w:val="0"/>
      <w:divBdr>
        <w:top w:val="none" w:sz="0" w:space="0" w:color="auto"/>
        <w:left w:val="none" w:sz="0" w:space="0" w:color="auto"/>
        <w:bottom w:val="none" w:sz="0" w:space="0" w:color="auto"/>
        <w:right w:val="none" w:sz="0" w:space="0" w:color="auto"/>
      </w:divBdr>
    </w:div>
    <w:div w:id="975262688">
      <w:bodyDiv w:val="1"/>
      <w:marLeft w:val="0"/>
      <w:marRight w:val="0"/>
      <w:marTop w:val="0"/>
      <w:marBottom w:val="0"/>
      <w:divBdr>
        <w:top w:val="none" w:sz="0" w:space="0" w:color="auto"/>
        <w:left w:val="none" w:sz="0" w:space="0" w:color="auto"/>
        <w:bottom w:val="none" w:sz="0" w:space="0" w:color="auto"/>
        <w:right w:val="none" w:sz="0" w:space="0" w:color="auto"/>
      </w:divBdr>
    </w:div>
    <w:div w:id="977688214">
      <w:bodyDiv w:val="1"/>
      <w:marLeft w:val="0"/>
      <w:marRight w:val="0"/>
      <w:marTop w:val="0"/>
      <w:marBottom w:val="0"/>
      <w:divBdr>
        <w:top w:val="none" w:sz="0" w:space="0" w:color="auto"/>
        <w:left w:val="none" w:sz="0" w:space="0" w:color="auto"/>
        <w:bottom w:val="none" w:sz="0" w:space="0" w:color="auto"/>
        <w:right w:val="none" w:sz="0" w:space="0" w:color="auto"/>
      </w:divBdr>
      <w:divsChild>
        <w:div w:id="1331828932">
          <w:marLeft w:val="0"/>
          <w:marRight w:val="0"/>
          <w:marTop w:val="0"/>
          <w:marBottom w:val="0"/>
          <w:divBdr>
            <w:top w:val="none" w:sz="0" w:space="0" w:color="auto"/>
            <w:left w:val="none" w:sz="0" w:space="0" w:color="auto"/>
            <w:bottom w:val="none" w:sz="0" w:space="0" w:color="auto"/>
            <w:right w:val="none" w:sz="0" w:space="0" w:color="auto"/>
          </w:divBdr>
        </w:div>
        <w:div w:id="1777823300">
          <w:marLeft w:val="0"/>
          <w:marRight w:val="0"/>
          <w:marTop w:val="0"/>
          <w:marBottom w:val="0"/>
          <w:divBdr>
            <w:top w:val="none" w:sz="0" w:space="0" w:color="auto"/>
            <w:left w:val="none" w:sz="0" w:space="0" w:color="auto"/>
            <w:bottom w:val="none" w:sz="0" w:space="0" w:color="auto"/>
            <w:right w:val="none" w:sz="0" w:space="0" w:color="auto"/>
          </w:divBdr>
        </w:div>
        <w:div w:id="36705024">
          <w:marLeft w:val="0"/>
          <w:marRight w:val="0"/>
          <w:marTop w:val="0"/>
          <w:marBottom w:val="0"/>
          <w:divBdr>
            <w:top w:val="none" w:sz="0" w:space="0" w:color="auto"/>
            <w:left w:val="none" w:sz="0" w:space="0" w:color="auto"/>
            <w:bottom w:val="none" w:sz="0" w:space="0" w:color="auto"/>
            <w:right w:val="none" w:sz="0" w:space="0" w:color="auto"/>
          </w:divBdr>
        </w:div>
        <w:div w:id="1987659906">
          <w:marLeft w:val="0"/>
          <w:marRight w:val="0"/>
          <w:marTop w:val="0"/>
          <w:marBottom w:val="0"/>
          <w:divBdr>
            <w:top w:val="none" w:sz="0" w:space="0" w:color="auto"/>
            <w:left w:val="none" w:sz="0" w:space="0" w:color="auto"/>
            <w:bottom w:val="none" w:sz="0" w:space="0" w:color="auto"/>
            <w:right w:val="none" w:sz="0" w:space="0" w:color="auto"/>
          </w:divBdr>
        </w:div>
      </w:divsChild>
    </w:div>
    <w:div w:id="981424436">
      <w:bodyDiv w:val="1"/>
      <w:marLeft w:val="0"/>
      <w:marRight w:val="0"/>
      <w:marTop w:val="0"/>
      <w:marBottom w:val="0"/>
      <w:divBdr>
        <w:top w:val="none" w:sz="0" w:space="0" w:color="auto"/>
        <w:left w:val="none" w:sz="0" w:space="0" w:color="auto"/>
        <w:bottom w:val="none" w:sz="0" w:space="0" w:color="auto"/>
        <w:right w:val="none" w:sz="0" w:space="0" w:color="auto"/>
      </w:divBdr>
    </w:div>
    <w:div w:id="985888851">
      <w:bodyDiv w:val="1"/>
      <w:marLeft w:val="0"/>
      <w:marRight w:val="0"/>
      <w:marTop w:val="0"/>
      <w:marBottom w:val="0"/>
      <w:divBdr>
        <w:top w:val="none" w:sz="0" w:space="0" w:color="auto"/>
        <w:left w:val="none" w:sz="0" w:space="0" w:color="auto"/>
        <w:bottom w:val="none" w:sz="0" w:space="0" w:color="auto"/>
        <w:right w:val="none" w:sz="0" w:space="0" w:color="auto"/>
      </w:divBdr>
      <w:divsChild>
        <w:div w:id="1838885702">
          <w:marLeft w:val="475"/>
          <w:marRight w:val="0"/>
          <w:marTop w:val="115"/>
          <w:marBottom w:val="120"/>
          <w:divBdr>
            <w:top w:val="none" w:sz="0" w:space="0" w:color="auto"/>
            <w:left w:val="none" w:sz="0" w:space="0" w:color="auto"/>
            <w:bottom w:val="none" w:sz="0" w:space="0" w:color="auto"/>
            <w:right w:val="none" w:sz="0" w:space="0" w:color="auto"/>
          </w:divBdr>
        </w:div>
        <w:div w:id="1361275390">
          <w:marLeft w:val="475"/>
          <w:marRight w:val="0"/>
          <w:marTop w:val="115"/>
          <w:marBottom w:val="120"/>
          <w:divBdr>
            <w:top w:val="none" w:sz="0" w:space="0" w:color="auto"/>
            <w:left w:val="none" w:sz="0" w:space="0" w:color="auto"/>
            <w:bottom w:val="none" w:sz="0" w:space="0" w:color="auto"/>
            <w:right w:val="none" w:sz="0" w:space="0" w:color="auto"/>
          </w:divBdr>
        </w:div>
        <w:div w:id="286280865">
          <w:marLeft w:val="475"/>
          <w:marRight w:val="0"/>
          <w:marTop w:val="115"/>
          <w:marBottom w:val="120"/>
          <w:divBdr>
            <w:top w:val="none" w:sz="0" w:space="0" w:color="auto"/>
            <w:left w:val="none" w:sz="0" w:space="0" w:color="auto"/>
            <w:bottom w:val="none" w:sz="0" w:space="0" w:color="auto"/>
            <w:right w:val="none" w:sz="0" w:space="0" w:color="auto"/>
          </w:divBdr>
        </w:div>
        <w:div w:id="980428810">
          <w:marLeft w:val="475"/>
          <w:marRight w:val="0"/>
          <w:marTop w:val="115"/>
          <w:marBottom w:val="120"/>
          <w:divBdr>
            <w:top w:val="none" w:sz="0" w:space="0" w:color="auto"/>
            <w:left w:val="none" w:sz="0" w:space="0" w:color="auto"/>
            <w:bottom w:val="none" w:sz="0" w:space="0" w:color="auto"/>
            <w:right w:val="none" w:sz="0" w:space="0" w:color="auto"/>
          </w:divBdr>
        </w:div>
        <w:div w:id="1158226524">
          <w:marLeft w:val="475"/>
          <w:marRight w:val="0"/>
          <w:marTop w:val="115"/>
          <w:marBottom w:val="120"/>
          <w:divBdr>
            <w:top w:val="none" w:sz="0" w:space="0" w:color="auto"/>
            <w:left w:val="none" w:sz="0" w:space="0" w:color="auto"/>
            <w:bottom w:val="none" w:sz="0" w:space="0" w:color="auto"/>
            <w:right w:val="none" w:sz="0" w:space="0" w:color="auto"/>
          </w:divBdr>
        </w:div>
      </w:divsChild>
    </w:div>
    <w:div w:id="1009524630">
      <w:bodyDiv w:val="1"/>
      <w:marLeft w:val="0"/>
      <w:marRight w:val="0"/>
      <w:marTop w:val="0"/>
      <w:marBottom w:val="0"/>
      <w:divBdr>
        <w:top w:val="none" w:sz="0" w:space="0" w:color="auto"/>
        <w:left w:val="none" w:sz="0" w:space="0" w:color="auto"/>
        <w:bottom w:val="none" w:sz="0" w:space="0" w:color="auto"/>
        <w:right w:val="none" w:sz="0" w:space="0" w:color="auto"/>
      </w:divBdr>
      <w:divsChild>
        <w:div w:id="915089925">
          <w:marLeft w:val="475"/>
          <w:marRight w:val="0"/>
          <w:marTop w:val="86"/>
          <w:marBottom w:val="120"/>
          <w:divBdr>
            <w:top w:val="none" w:sz="0" w:space="0" w:color="auto"/>
            <w:left w:val="none" w:sz="0" w:space="0" w:color="auto"/>
            <w:bottom w:val="none" w:sz="0" w:space="0" w:color="auto"/>
            <w:right w:val="none" w:sz="0" w:space="0" w:color="auto"/>
          </w:divBdr>
        </w:div>
        <w:div w:id="2009668682">
          <w:marLeft w:val="475"/>
          <w:marRight w:val="0"/>
          <w:marTop w:val="86"/>
          <w:marBottom w:val="120"/>
          <w:divBdr>
            <w:top w:val="none" w:sz="0" w:space="0" w:color="auto"/>
            <w:left w:val="none" w:sz="0" w:space="0" w:color="auto"/>
            <w:bottom w:val="none" w:sz="0" w:space="0" w:color="auto"/>
            <w:right w:val="none" w:sz="0" w:space="0" w:color="auto"/>
          </w:divBdr>
        </w:div>
        <w:div w:id="1889607890">
          <w:marLeft w:val="475"/>
          <w:marRight w:val="0"/>
          <w:marTop w:val="86"/>
          <w:marBottom w:val="120"/>
          <w:divBdr>
            <w:top w:val="none" w:sz="0" w:space="0" w:color="auto"/>
            <w:left w:val="none" w:sz="0" w:space="0" w:color="auto"/>
            <w:bottom w:val="none" w:sz="0" w:space="0" w:color="auto"/>
            <w:right w:val="none" w:sz="0" w:space="0" w:color="auto"/>
          </w:divBdr>
        </w:div>
        <w:div w:id="1905601134">
          <w:marLeft w:val="475"/>
          <w:marRight w:val="0"/>
          <w:marTop w:val="86"/>
          <w:marBottom w:val="120"/>
          <w:divBdr>
            <w:top w:val="none" w:sz="0" w:space="0" w:color="auto"/>
            <w:left w:val="none" w:sz="0" w:space="0" w:color="auto"/>
            <w:bottom w:val="none" w:sz="0" w:space="0" w:color="auto"/>
            <w:right w:val="none" w:sz="0" w:space="0" w:color="auto"/>
          </w:divBdr>
        </w:div>
        <w:div w:id="1610819475">
          <w:marLeft w:val="475"/>
          <w:marRight w:val="0"/>
          <w:marTop w:val="86"/>
          <w:marBottom w:val="120"/>
          <w:divBdr>
            <w:top w:val="none" w:sz="0" w:space="0" w:color="auto"/>
            <w:left w:val="none" w:sz="0" w:space="0" w:color="auto"/>
            <w:bottom w:val="none" w:sz="0" w:space="0" w:color="auto"/>
            <w:right w:val="none" w:sz="0" w:space="0" w:color="auto"/>
          </w:divBdr>
        </w:div>
        <w:div w:id="839849984">
          <w:marLeft w:val="475"/>
          <w:marRight w:val="0"/>
          <w:marTop w:val="86"/>
          <w:marBottom w:val="120"/>
          <w:divBdr>
            <w:top w:val="none" w:sz="0" w:space="0" w:color="auto"/>
            <w:left w:val="none" w:sz="0" w:space="0" w:color="auto"/>
            <w:bottom w:val="none" w:sz="0" w:space="0" w:color="auto"/>
            <w:right w:val="none" w:sz="0" w:space="0" w:color="auto"/>
          </w:divBdr>
        </w:div>
      </w:divsChild>
    </w:div>
    <w:div w:id="1016617987">
      <w:bodyDiv w:val="1"/>
      <w:marLeft w:val="0"/>
      <w:marRight w:val="0"/>
      <w:marTop w:val="0"/>
      <w:marBottom w:val="0"/>
      <w:divBdr>
        <w:top w:val="none" w:sz="0" w:space="0" w:color="auto"/>
        <w:left w:val="none" w:sz="0" w:space="0" w:color="auto"/>
        <w:bottom w:val="none" w:sz="0" w:space="0" w:color="auto"/>
        <w:right w:val="none" w:sz="0" w:space="0" w:color="auto"/>
      </w:divBdr>
    </w:div>
    <w:div w:id="1026831326">
      <w:bodyDiv w:val="1"/>
      <w:marLeft w:val="0"/>
      <w:marRight w:val="0"/>
      <w:marTop w:val="0"/>
      <w:marBottom w:val="0"/>
      <w:divBdr>
        <w:top w:val="none" w:sz="0" w:space="0" w:color="auto"/>
        <w:left w:val="none" w:sz="0" w:space="0" w:color="auto"/>
        <w:bottom w:val="none" w:sz="0" w:space="0" w:color="auto"/>
        <w:right w:val="none" w:sz="0" w:space="0" w:color="auto"/>
      </w:divBdr>
    </w:div>
    <w:div w:id="1030297956">
      <w:bodyDiv w:val="1"/>
      <w:marLeft w:val="0"/>
      <w:marRight w:val="0"/>
      <w:marTop w:val="0"/>
      <w:marBottom w:val="0"/>
      <w:divBdr>
        <w:top w:val="none" w:sz="0" w:space="0" w:color="auto"/>
        <w:left w:val="none" w:sz="0" w:space="0" w:color="auto"/>
        <w:bottom w:val="none" w:sz="0" w:space="0" w:color="auto"/>
        <w:right w:val="none" w:sz="0" w:space="0" w:color="auto"/>
      </w:divBdr>
    </w:div>
    <w:div w:id="1037390159">
      <w:bodyDiv w:val="1"/>
      <w:marLeft w:val="0"/>
      <w:marRight w:val="0"/>
      <w:marTop w:val="0"/>
      <w:marBottom w:val="0"/>
      <w:divBdr>
        <w:top w:val="none" w:sz="0" w:space="0" w:color="auto"/>
        <w:left w:val="none" w:sz="0" w:space="0" w:color="auto"/>
        <w:bottom w:val="none" w:sz="0" w:space="0" w:color="auto"/>
        <w:right w:val="none" w:sz="0" w:space="0" w:color="auto"/>
      </w:divBdr>
    </w:div>
    <w:div w:id="1047755107">
      <w:bodyDiv w:val="1"/>
      <w:marLeft w:val="0"/>
      <w:marRight w:val="0"/>
      <w:marTop w:val="0"/>
      <w:marBottom w:val="0"/>
      <w:divBdr>
        <w:top w:val="none" w:sz="0" w:space="0" w:color="auto"/>
        <w:left w:val="none" w:sz="0" w:space="0" w:color="auto"/>
        <w:bottom w:val="none" w:sz="0" w:space="0" w:color="auto"/>
        <w:right w:val="none" w:sz="0" w:space="0" w:color="auto"/>
      </w:divBdr>
      <w:divsChild>
        <w:div w:id="1768304385">
          <w:marLeft w:val="0"/>
          <w:marRight w:val="0"/>
          <w:marTop w:val="0"/>
          <w:marBottom w:val="450"/>
          <w:divBdr>
            <w:top w:val="single" w:sz="6" w:space="0" w:color="B4B5B6"/>
            <w:left w:val="single" w:sz="6" w:space="0" w:color="B4B5B6"/>
            <w:bottom w:val="single" w:sz="6" w:space="0" w:color="B4B5B6"/>
            <w:right w:val="single" w:sz="6" w:space="0" w:color="B4B5B6"/>
          </w:divBdr>
          <w:divsChild>
            <w:div w:id="9628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7619">
      <w:bodyDiv w:val="1"/>
      <w:marLeft w:val="0"/>
      <w:marRight w:val="0"/>
      <w:marTop w:val="0"/>
      <w:marBottom w:val="0"/>
      <w:divBdr>
        <w:top w:val="none" w:sz="0" w:space="0" w:color="auto"/>
        <w:left w:val="none" w:sz="0" w:space="0" w:color="auto"/>
        <w:bottom w:val="none" w:sz="0" w:space="0" w:color="auto"/>
        <w:right w:val="none" w:sz="0" w:space="0" w:color="auto"/>
      </w:divBdr>
      <w:divsChild>
        <w:div w:id="1805662765">
          <w:marLeft w:val="475"/>
          <w:marRight w:val="0"/>
          <w:marTop w:val="115"/>
          <w:marBottom w:val="120"/>
          <w:divBdr>
            <w:top w:val="none" w:sz="0" w:space="0" w:color="auto"/>
            <w:left w:val="none" w:sz="0" w:space="0" w:color="auto"/>
            <w:bottom w:val="none" w:sz="0" w:space="0" w:color="auto"/>
            <w:right w:val="none" w:sz="0" w:space="0" w:color="auto"/>
          </w:divBdr>
        </w:div>
        <w:div w:id="1354915382">
          <w:marLeft w:val="475"/>
          <w:marRight w:val="0"/>
          <w:marTop w:val="115"/>
          <w:marBottom w:val="120"/>
          <w:divBdr>
            <w:top w:val="none" w:sz="0" w:space="0" w:color="auto"/>
            <w:left w:val="none" w:sz="0" w:space="0" w:color="auto"/>
            <w:bottom w:val="none" w:sz="0" w:space="0" w:color="auto"/>
            <w:right w:val="none" w:sz="0" w:space="0" w:color="auto"/>
          </w:divBdr>
        </w:div>
        <w:div w:id="1496801020">
          <w:marLeft w:val="288"/>
          <w:marRight w:val="0"/>
          <w:marTop w:val="115"/>
          <w:marBottom w:val="120"/>
          <w:divBdr>
            <w:top w:val="none" w:sz="0" w:space="0" w:color="auto"/>
            <w:left w:val="none" w:sz="0" w:space="0" w:color="auto"/>
            <w:bottom w:val="none" w:sz="0" w:space="0" w:color="auto"/>
            <w:right w:val="none" w:sz="0" w:space="0" w:color="auto"/>
          </w:divBdr>
        </w:div>
        <w:div w:id="1979527530">
          <w:marLeft w:val="288"/>
          <w:marRight w:val="0"/>
          <w:marTop w:val="115"/>
          <w:marBottom w:val="120"/>
          <w:divBdr>
            <w:top w:val="none" w:sz="0" w:space="0" w:color="auto"/>
            <w:left w:val="none" w:sz="0" w:space="0" w:color="auto"/>
            <w:bottom w:val="none" w:sz="0" w:space="0" w:color="auto"/>
            <w:right w:val="none" w:sz="0" w:space="0" w:color="auto"/>
          </w:divBdr>
        </w:div>
      </w:divsChild>
    </w:div>
    <w:div w:id="1064066204">
      <w:bodyDiv w:val="1"/>
      <w:marLeft w:val="0"/>
      <w:marRight w:val="0"/>
      <w:marTop w:val="0"/>
      <w:marBottom w:val="0"/>
      <w:divBdr>
        <w:top w:val="none" w:sz="0" w:space="0" w:color="auto"/>
        <w:left w:val="none" w:sz="0" w:space="0" w:color="auto"/>
        <w:bottom w:val="none" w:sz="0" w:space="0" w:color="auto"/>
        <w:right w:val="none" w:sz="0" w:space="0" w:color="auto"/>
      </w:divBdr>
      <w:divsChild>
        <w:div w:id="200215221">
          <w:marLeft w:val="475"/>
          <w:marRight w:val="0"/>
          <w:marTop w:val="82"/>
          <w:marBottom w:val="120"/>
          <w:divBdr>
            <w:top w:val="none" w:sz="0" w:space="0" w:color="auto"/>
            <w:left w:val="none" w:sz="0" w:space="0" w:color="auto"/>
            <w:bottom w:val="none" w:sz="0" w:space="0" w:color="auto"/>
            <w:right w:val="none" w:sz="0" w:space="0" w:color="auto"/>
          </w:divBdr>
        </w:div>
        <w:div w:id="1970669110">
          <w:marLeft w:val="475"/>
          <w:marRight w:val="0"/>
          <w:marTop w:val="82"/>
          <w:marBottom w:val="120"/>
          <w:divBdr>
            <w:top w:val="none" w:sz="0" w:space="0" w:color="auto"/>
            <w:left w:val="none" w:sz="0" w:space="0" w:color="auto"/>
            <w:bottom w:val="none" w:sz="0" w:space="0" w:color="auto"/>
            <w:right w:val="none" w:sz="0" w:space="0" w:color="auto"/>
          </w:divBdr>
        </w:div>
        <w:div w:id="140464803">
          <w:marLeft w:val="605"/>
          <w:marRight w:val="0"/>
          <w:marTop w:val="82"/>
          <w:marBottom w:val="120"/>
          <w:divBdr>
            <w:top w:val="none" w:sz="0" w:space="0" w:color="auto"/>
            <w:left w:val="none" w:sz="0" w:space="0" w:color="auto"/>
            <w:bottom w:val="none" w:sz="0" w:space="0" w:color="auto"/>
            <w:right w:val="none" w:sz="0" w:space="0" w:color="auto"/>
          </w:divBdr>
        </w:div>
        <w:div w:id="756292517">
          <w:marLeft w:val="605"/>
          <w:marRight w:val="0"/>
          <w:marTop w:val="82"/>
          <w:marBottom w:val="120"/>
          <w:divBdr>
            <w:top w:val="none" w:sz="0" w:space="0" w:color="auto"/>
            <w:left w:val="none" w:sz="0" w:space="0" w:color="auto"/>
            <w:bottom w:val="none" w:sz="0" w:space="0" w:color="auto"/>
            <w:right w:val="none" w:sz="0" w:space="0" w:color="auto"/>
          </w:divBdr>
        </w:div>
        <w:div w:id="786124383">
          <w:marLeft w:val="605"/>
          <w:marRight w:val="0"/>
          <w:marTop w:val="82"/>
          <w:marBottom w:val="120"/>
          <w:divBdr>
            <w:top w:val="none" w:sz="0" w:space="0" w:color="auto"/>
            <w:left w:val="none" w:sz="0" w:space="0" w:color="auto"/>
            <w:bottom w:val="none" w:sz="0" w:space="0" w:color="auto"/>
            <w:right w:val="none" w:sz="0" w:space="0" w:color="auto"/>
          </w:divBdr>
        </w:div>
      </w:divsChild>
    </w:div>
    <w:div w:id="1066492305">
      <w:bodyDiv w:val="1"/>
      <w:marLeft w:val="0"/>
      <w:marRight w:val="0"/>
      <w:marTop w:val="0"/>
      <w:marBottom w:val="0"/>
      <w:divBdr>
        <w:top w:val="none" w:sz="0" w:space="0" w:color="auto"/>
        <w:left w:val="none" w:sz="0" w:space="0" w:color="auto"/>
        <w:bottom w:val="none" w:sz="0" w:space="0" w:color="auto"/>
        <w:right w:val="none" w:sz="0" w:space="0" w:color="auto"/>
      </w:divBdr>
      <w:divsChild>
        <w:div w:id="864247568">
          <w:marLeft w:val="0"/>
          <w:marRight w:val="0"/>
          <w:marTop w:val="0"/>
          <w:marBottom w:val="0"/>
          <w:divBdr>
            <w:top w:val="none" w:sz="0" w:space="0" w:color="auto"/>
            <w:left w:val="none" w:sz="0" w:space="0" w:color="auto"/>
            <w:bottom w:val="none" w:sz="0" w:space="0" w:color="auto"/>
            <w:right w:val="none" w:sz="0" w:space="0" w:color="auto"/>
          </w:divBdr>
          <w:divsChild>
            <w:div w:id="1805468653">
              <w:marLeft w:val="0"/>
              <w:marRight w:val="0"/>
              <w:marTop w:val="0"/>
              <w:marBottom w:val="0"/>
              <w:divBdr>
                <w:top w:val="none" w:sz="0" w:space="0" w:color="auto"/>
                <w:left w:val="none" w:sz="0" w:space="0" w:color="auto"/>
                <w:bottom w:val="none" w:sz="0" w:space="0" w:color="auto"/>
                <w:right w:val="none" w:sz="0" w:space="0" w:color="auto"/>
              </w:divBdr>
            </w:div>
          </w:divsChild>
        </w:div>
        <w:div w:id="1133401833">
          <w:marLeft w:val="0"/>
          <w:marRight w:val="0"/>
          <w:marTop w:val="0"/>
          <w:marBottom w:val="0"/>
          <w:divBdr>
            <w:top w:val="none" w:sz="0" w:space="0" w:color="auto"/>
            <w:left w:val="none" w:sz="0" w:space="0" w:color="auto"/>
            <w:bottom w:val="single" w:sz="12" w:space="0" w:color="20AA3F"/>
            <w:right w:val="none" w:sz="0" w:space="0" w:color="auto"/>
          </w:divBdr>
          <w:divsChild>
            <w:div w:id="1186868269">
              <w:marLeft w:val="0"/>
              <w:marRight w:val="0"/>
              <w:marTop w:val="0"/>
              <w:marBottom w:val="0"/>
              <w:divBdr>
                <w:top w:val="none" w:sz="0" w:space="0" w:color="auto"/>
                <w:left w:val="none" w:sz="0" w:space="0" w:color="auto"/>
                <w:bottom w:val="none" w:sz="0" w:space="0" w:color="auto"/>
                <w:right w:val="none" w:sz="0" w:space="0" w:color="auto"/>
              </w:divBdr>
              <w:divsChild>
                <w:div w:id="1836914618">
                  <w:marLeft w:val="0"/>
                  <w:marRight w:val="-60"/>
                  <w:marTop w:val="0"/>
                  <w:marBottom w:val="0"/>
                  <w:divBdr>
                    <w:top w:val="single" w:sz="2" w:space="11" w:color="auto"/>
                    <w:left w:val="single" w:sz="48" w:space="11" w:color="auto"/>
                    <w:bottom w:val="single" w:sz="2" w:space="11" w:color="auto"/>
                    <w:right w:val="single" w:sz="48" w:space="11" w:color="auto"/>
                  </w:divBdr>
                  <w:divsChild>
                    <w:div w:id="1015114252">
                      <w:marLeft w:val="0"/>
                      <w:marRight w:val="0"/>
                      <w:marTop w:val="0"/>
                      <w:marBottom w:val="0"/>
                      <w:divBdr>
                        <w:top w:val="none" w:sz="0" w:space="0" w:color="auto"/>
                        <w:left w:val="none" w:sz="0" w:space="0" w:color="auto"/>
                        <w:bottom w:val="none" w:sz="0" w:space="0" w:color="auto"/>
                        <w:right w:val="none" w:sz="0" w:space="0" w:color="auto"/>
                      </w:divBdr>
                      <w:divsChild>
                        <w:div w:id="774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002968">
      <w:bodyDiv w:val="1"/>
      <w:marLeft w:val="0"/>
      <w:marRight w:val="0"/>
      <w:marTop w:val="0"/>
      <w:marBottom w:val="0"/>
      <w:divBdr>
        <w:top w:val="none" w:sz="0" w:space="0" w:color="auto"/>
        <w:left w:val="none" w:sz="0" w:space="0" w:color="auto"/>
        <w:bottom w:val="none" w:sz="0" w:space="0" w:color="auto"/>
        <w:right w:val="none" w:sz="0" w:space="0" w:color="auto"/>
      </w:divBdr>
      <w:divsChild>
        <w:div w:id="1222641432">
          <w:marLeft w:val="0"/>
          <w:marRight w:val="0"/>
          <w:marTop w:val="0"/>
          <w:marBottom w:val="0"/>
          <w:divBdr>
            <w:top w:val="none" w:sz="0" w:space="0" w:color="auto"/>
            <w:left w:val="none" w:sz="0" w:space="0" w:color="auto"/>
            <w:bottom w:val="none" w:sz="0" w:space="0" w:color="auto"/>
            <w:right w:val="none" w:sz="0" w:space="0" w:color="auto"/>
          </w:divBdr>
        </w:div>
      </w:divsChild>
    </w:div>
    <w:div w:id="1102533511">
      <w:bodyDiv w:val="1"/>
      <w:marLeft w:val="0"/>
      <w:marRight w:val="0"/>
      <w:marTop w:val="0"/>
      <w:marBottom w:val="0"/>
      <w:divBdr>
        <w:top w:val="none" w:sz="0" w:space="0" w:color="auto"/>
        <w:left w:val="none" w:sz="0" w:space="0" w:color="auto"/>
        <w:bottom w:val="none" w:sz="0" w:space="0" w:color="auto"/>
        <w:right w:val="none" w:sz="0" w:space="0" w:color="auto"/>
      </w:divBdr>
      <w:divsChild>
        <w:div w:id="1711150653">
          <w:marLeft w:val="475"/>
          <w:marRight w:val="0"/>
          <w:marTop w:val="91"/>
          <w:marBottom w:val="120"/>
          <w:divBdr>
            <w:top w:val="none" w:sz="0" w:space="0" w:color="auto"/>
            <w:left w:val="none" w:sz="0" w:space="0" w:color="auto"/>
            <w:bottom w:val="none" w:sz="0" w:space="0" w:color="auto"/>
            <w:right w:val="none" w:sz="0" w:space="0" w:color="auto"/>
          </w:divBdr>
        </w:div>
        <w:div w:id="1202477487">
          <w:marLeft w:val="475"/>
          <w:marRight w:val="0"/>
          <w:marTop w:val="91"/>
          <w:marBottom w:val="120"/>
          <w:divBdr>
            <w:top w:val="none" w:sz="0" w:space="0" w:color="auto"/>
            <w:left w:val="none" w:sz="0" w:space="0" w:color="auto"/>
            <w:bottom w:val="none" w:sz="0" w:space="0" w:color="auto"/>
            <w:right w:val="none" w:sz="0" w:space="0" w:color="auto"/>
          </w:divBdr>
        </w:div>
      </w:divsChild>
    </w:div>
    <w:div w:id="1137261884">
      <w:bodyDiv w:val="1"/>
      <w:marLeft w:val="0"/>
      <w:marRight w:val="0"/>
      <w:marTop w:val="0"/>
      <w:marBottom w:val="0"/>
      <w:divBdr>
        <w:top w:val="none" w:sz="0" w:space="0" w:color="auto"/>
        <w:left w:val="none" w:sz="0" w:space="0" w:color="auto"/>
        <w:bottom w:val="none" w:sz="0" w:space="0" w:color="auto"/>
        <w:right w:val="none" w:sz="0" w:space="0" w:color="auto"/>
      </w:divBdr>
    </w:div>
    <w:div w:id="1141656651">
      <w:bodyDiv w:val="1"/>
      <w:marLeft w:val="0"/>
      <w:marRight w:val="0"/>
      <w:marTop w:val="0"/>
      <w:marBottom w:val="0"/>
      <w:divBdr>
        <w:top w:val="none" w:sz="0" w:space="0" w:color="auto"/>
        <w:left w:val="none" w:sz="0" w:space="0" w:color="auto"/>
        <w:bottom w:val="none" w:sz="0" w:space="0" w:color="auto"/>
        <w:right w:val="none" w:sz="0" w:space="0" w:color="auto"/>
      </w:divBdr>
      <w:divsChild>
        <w:div w:id="485054743">
          <w:marLeft w:val="288"/>
          <w:marRight w:val="0"/>
          <w:marTop w:val="115"/>
          <w:marBottom w:val="120"/>
          <w:divBdr>
            <w:top w:val="none" w:sz="0" w:space="0" w:color="auto"/>
            <w:left w:val="none" w:sz="0" w:space="0" w:color="auto"/>
            <w:bottom w:val="none" w:sz="0" w:space="0" w:color="auto"/>
            <w:right w:val="none" w:sz="0" w:space="0" w:color="auto"/>
          </w:divBdr>
        </w:div>
        <w:div w:id="201942188">
          <w:marLeft w:val="288"/>
          <w:marRight w:val="0"/>
          <w:marTop w:val="115"/>
          <w:marBottom w:val="120"/>
          <w:divBdr>
            <w:top w:val="none" w:sz="0" w:space="0" w:color="auto"/>
            <w:left w:val="none" w:sz="0" w:space="0" w:color="auto"/>
            <w:bottom w:val="none" w:sz="0" w:space="0" w:color="auto"/>
            <w:right w:val="none" w:sz="0" w:space="0" w:color="auto"/>
          </w:divBdr>
        </w:div>
      </w:divsChild>
    </w:div>
    <w:div w:id="1141728199">
      <w:bodyDiv w:val="1"/>
      <w:marLeft w:val="0"/>
      <w:marRight w:val="0"/>
      <w:marTop w:val="0"/>
      <w:marBottom w:val="0"/>
      <w:divBdr>
        <w:top w:val="none" w:sz="0" w:space="0" w:color="auto"/>
        <w:left w:val="none" w:sz="0" w:space="0" w:color="auto"/>
        <w:bottom w:val="none" w:sz="0" w:space="0" w:color="auto"/>
        <w:right w:val="none" w:sz="0" w:space="0" w:color="auto"/>
      </w:divBdr>
    </w:div>
    <w:div w:id="1145590765">
      <w:bodyDiv w:val="1"/>
      <w:marLeft w:val="0"/>
      <w:marRight w:val="0"/>
      <w:marTop w:val="0"/>
      <w:marBottom w:val="0"/>
      <w:divBdr>
        <w:top w:val="none" w:sz="0" w:space="0" w:color="auto"/>
        <w:left w:val="none" w:sz="0" w:space="0" w:color="auto"/>
        <w:bottom w:val="none" w:sz="0" w:space="0" w:color="auto"/>
        <w:right w:val="none" w:sz="0" w:space="0" w:color="auto"/>
      </w:divBdr>
      <w:divsChild>
        <w:div w:id="1853838317">
          <w:marLeft w:val="0"/>
          <w:marRight w:val="0"/>
          <w:marTop w:val="0"/>
          <w:marBottom w:val="0"/>
          <w:divBdr>
            <w:top w:val="none" w:sz="0" w:space="0" w:color="auto"/>
            <w:left w:val="none" w:sz="0" w:space="0" w:color="auto"/>
            <w:bottom w:val="none" w:sz="0" w:space="0" w:color="auto"/>
            <w:right w:val="none" w:sz="0" w:space="0" w:color="auto"/>
          </w:divBdr>
          <w:divsChild>
            <w:div w:id="95174635">
              <w:marLeft w:val="0"/>
              <w:marRight w:val="0"/>
              <w:marTop w:val="0"/>
              <w:marBottom w:val="0"/>
              <w:divBdr>
                <w:top w:val="none" w:sz="0" w:space="0" w:color="auto"/>
                <w:left w:val="none" w:sz="0" w:space="0" w:color="auto"/>
                <w:bottom w:val="none" w:sz="0" w:space="0" w:color="auto"/>
                <w:right w:val="none" w:sz="0" w:space="0" w:color="auto"/>
              </w:divBdr>
              <w:divsChild>
                <w:div w:id="244191380">
                  <w:marLeft w:val="0"/>
                  <w:marRight w:val="0"/>
                  <w:marTop w:val="0"/>
                  <w:marBottom w:val="0"/>
                  <w:divBdr>
                    <w:top w:val="none" w:sz="0" w:space="0" w:color="auto"/>
                    <w:left w:val="none" w:sz="0" w:space="0" w:color="auto"/>
                    <w:bottom w:val="none" w:sz="0" w:space="0" w:color="auto"/>
                    <w:right w:val="none" w:sz="0" w:space="0" w:color="auto"/>
                  </w:divBdr>
                  <w:divsChild>
                    <w:div w:id="1650355601">
                      <w:marLeft w:val="0"/>
                      <w:marRight w:val="0"/>
                      <w:marTop w:val="0"/>
                      <w:marBottom w:val="0"/>
                      <w:divBdr>
                        <w:top w:val="none" w:sz="0" w:space="0" w:color="auto"/>
                        <w:left w:val="none" w:sz="0" w:space="0" w:color="auto"/>
                        <w:bottom w:val="none" w:sz="0" w:space="0" w:color="auto"/>
                        <w:right w:val="none" w:sz="0" w:space="0" w:color="auto"/>
                      </w:divBdr>
                      <w:divsChild>
                        <w:div w:id="1285231500">
                          <w:marLeft w:val="0"/>
                          <w:marRight w:val="0"/>
                          <w:marTop w:val="0"/>
                          <w:marBottom w:val="0"/>
                          <w:divBdr>
                            <w:top w:val="none" w:sz="0" w:space="0" w:color="auto"/>
                            <w:left w:val="none" w:sz="0" w:space="0" w:color="auto"/>
                            <w:bottom w:val="none" w:sz="0" w:space="0" w:color="auto"/>
                            <w:right w:val="none" w:sz="0" w:space="0" w:color="auto"/>
                          </w:divBdr>
                          <w:divsChild>
                            <w:div w:id="338194322">
                              <w:marLeft w:val="0"/>
                              <w:marRight w:val="0"/>
                              <w:marTop w:val="0"/>
                              <w:marBottom w:val="0"/>
                              <w:divBdr>
                                <w:top w:val="none" w:sz="0" w:space="0" w:color="auto"/>
                                <w:left w:val="none" w:sz="0" w:space="0" w:color="auto"/>
                                <w:bottom w:val="none" w:sz="0" w:space="0" w:color="auto"/>
                                <w:right w:val="none" w:sz="0" w:space="0" w:color="auto"/>
                              </w:divBdr>
                              <w:divsChild>
                                <w:div w:id="1021054060">
                                  <w:marLeft w:val="0"/>
                                  <w:marRight w:val="0"/>
                                  <w:marTop w:val="0"/>
                                  <w:marBottom w:val="0"/>
                                  <w:divBdr>
                                    <w:top w:val="none" w:sz="0" w:space="0" w:color="auto"/>
                                    <w:left w:val="none" w:sz="0" w:space="0" w:color="auto"/>
                                    <w:bottom w:val="none" w:sz="0" w:space="0" w:color="auto"/>
                                    <w:right w:val="none" w:sz="0" w:space="0" w:color="auto"/>
                                  </w:divBdr>
                                </w:div>
                                <w:div w:id="72360352">
                                  <w:marLeft w:val="0"/>
                                  <w:marRight w:val="0"/>
                                  <w:marTop w:val="0"/>
                                  <w:marBottom w:val="0"/>
                                  <w:divBdr>
                                    <w:top w:val="none" w:sz="0" w:space="0" w:color="auto"/>
                                    <w:left w:val="none" w:sz="0" w:space="0" w:color="auto"/>
                                    <w:bottom w:val="none" w:sz="0" w:space="0" w:color="auto"/>
                                    <w:right w:val="none" w:sz="0" w:space="0" w:color="auto"/>
                                  </w:divBdr>
                                </w:div>
                                <w:div w:id="386221992">
                                  <w:marLeft w:val="0"/>
                                  <w:marRight w:val="0"/>
                                  <w:marTop w:val="0"/>
                                  <w:marBottom w:val="0"/>
                                  <w:divBdr>
                                    <w:top w:val="none" w:sz="0" w:space="0" w:color="auto"/>
                                    <w:left w:val="none" w:sz="0" w:space="0" w:color="auto"/>
                                    <w:bottom w:val="none" w:sz="0" w:space="0" w:color="auto"/>
                                    <w:right w:val="none" w:sz="0" w:space="0" w:color="auto"/>
                                  </w:divBdr>
                                </w:div>
                                <w:div w:id="20965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918591">
              <w:marLeft w:val="0"/>
              <w:marRight w:val="0"/>
              <w:marTop w:val="0"/>
              <w:marBottom w:val="0"/>
              <w:divBdr>
                <w:top w:val="none" w:sz="0" w:space="0" w:color="auto"/>
                <w:left w:val="none" w:sz="0" w:space="0" w:color="auto"/>
                <w:bottom w:val="none" w:sz="0" w:space="0" w:color="auto"/>
                <w:right w:val="none" w:sz="0" w:space="0" w:color="auto"/>
              </w:divBdr>
            </w:div>
            <w:div w:id="407730798">
              <w:marLeft w:val="0"/>
              <w:marRight w:val="0"/>
              <w:marTop w:val="0"/>
              <w:marBottom w:val="0"/>
              <w:divBdr>
                <w:top w:val="none" w:sz="0" w:space="0" w:color="auto"/>
                <w:left w:val="none" w:sz="0" w:space="0" w:color="auto"/>
                <w:bottom w:val="none" w:sz="0" w:space="0" w:color="auto"/>
                <w:right w:val="none" w:sz="0" w:space="0" w:color="auto"/>
              </w:divBdr>
              <w:divsChild>
                <w:div w:id="613823856">
                  <w:marLeft w:val="0"/>
                  <w:marRight w:val="0"/>
                  <w:marTop w:val="0"/>
                  <w:marBottom w:val="0"/>
                  <w:divBdr>
                    <w:top w:val="none" w:sz="0" w:space="0" w:color="auto"/>
                    <w:left w:val="none" w:sz="0" w:space="0" w:color="auto"/>
                    <w:bottom w:val="none" w:sz="0" w:space="0" w:color="auto"/>
                    <w:right w:val="none" w:sz="0" w:space="0" w:color="auto"/>
                  </w:divBdr>
                  <w:divsChild>
                    <w:div w:id="336542842">
                      <w:marLeft w:val="0"/>
                      <w:marRight w:val="0"/>
                      <w:marTop w:val="0"/>
                      <w:marBottom w:val="0"/>
                      <w:divBdr>
                        <w:top w:val="none" w:sz="0" w:space="0" w:color="auto"/>
                        <w:left w:val="none" w:sz="0" w:space="0" w:color="auto"/>
                        <w:bottom w:val="none" w:sz="0" w:space="0" w:color="auto"/>
                        <w:right w:val="none" w:sz="0" w:space="0" w:color="auto"/>
                      </w:divBdr>
                      <w:divsChild>
                        <w:div w:id="335157137">
                          <w:marLeft w:val="0"/>
                          <w:marRight w:val="0"/>
                          <w:marTop w:val="0"/>
                          <w:marBottom w:val="0"/>
                          <w:divBdr>
                            <w:top w:val="none" w:sz="0" w:space="0" w:color="auto"/>
                            <w:left w:val="none" w:sz="0" w:space="0" w:color="auto"/>
                            <w:bottom w:val="none" w:sz="0" w:space="0" w:color="auto"/>
                            <w:right w:val="none" w:sz="0" w:space="0" w:color="auto"/>
                          </w:divBdr>
                          <w:divsChild>
                            <w:div w:id="1211650474">
                              <w:marLeft w:val="0"/>
                              <w:marRight w:val="0"/>
                              <w:marTop w:val="0"/>
                              <w:marBottom w:val="0"/>
                              <w:divBdr>
                                <w:top w:val="none" w:sz="0" w:space="0" w:color="auto"/>
                                <w:left w:val="none" w:sz="0" w:space="0" w:color="auto"/>
                                <w:bottom w:val="none" w:sz="0" w:space="0" w:color="auto"/>
                                <w:right w:val="none" w:sz="0" w:space="0" w:color="auto"/>
                              </w:divBdr>
                              <w:divsChild>
                                <w:div w:id="12419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53277">
              <w:marLeft w:val="0"/>
              <w:marRight w:val="0"/>
              <w:marTop w:val="0"/>
              <w:marBottom w:val="0"/>
              <w:divBdr>
                <w:top w:val="none" w:sz="0" w:space="0" w:color="auto"/>
                <w:left w:val="none" w:sz="0" w:space="0" w:color="auto"/>
                <w:bottom w:val="none" w:sz="0" w:space="0" w:color="auto"/>
                <w:right w:val="none" w:sz="0" w:space="0" w:color="auto"/>
              </w:divBdr>
            </w:div>
            <w:div w:id="1535725336">
              <w:marLeft w:val="0"/>
              <w:marRight w:val="0"/>
              <w:marTop w:val="0"/>
              <w:marBottom w:val="0"/>
              <w:divBdr>
                <w:top w:val="none" w:sz="0" w:space="0" w:color="auto"/>
                <w:left w:val="none" w:sz="0" w:space="0" w:color="auto"/>
                <w:bottom w:val="none" w:sz="0" w:space="0" w:color="auto"/>
                <w:right w:val="none" w:sz="0" w:space="0" w:color="auto"/>
              </w:divBdr>
              <w:divsChild>
                <w:div w:id="2011061093">
                  <w:marLeft w:val="0"/>
                  <w:marRight w:val="0"/>
                  <w:marTop w:val="0"/>
                  <w:marBottom w:val="0"/>
                  <w:divBdr>
                    <w:top w:val="none" w:sz="0" w:space="0" w:color="auto"/>
                    <w:left w:val="none" w:sz="0" w:space="0" w:color="auto"/>
                    <w:bottom w:val="none" w:sz="0" w:space="0" w:color="auto"/>
                    <w:right w:val="none" w:sz="0" w:space="0" w:color="auto"/>
                  </w:divBdr>
                  <w:divsChild>
                    <w:div w:id="61953437">
                      <w:marLeft w:val="0"/>
                      <w:marRight w:val="0"/>
                      <w:marTop w:val="0"/>
                      <w:marBottom w:val="0"/>
                      <w:divBdr>
                        <w:top w:val="none" w:sz="0" w:space="0" w:color="auto"/>
                        <w:left w:val="none" w:sz="0" w:space="0" w:color="auto"/>
                        <w:bottom w:val="none" w:sz="0" w:space="0" w:color="auto"/>
                        <w:right w:val="none" w:sz="0" w:space="0" w:color="auto"/>
                      </w:divBdr>
                      <w:divsChild>
                        <w:div w:id="10051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86013">
      <w:bodyDiv w:val="1"/>
      <w:marLeft w:val="0"/>
      <w:marRight w:val="0"/>
      <w:marTop w:val="0"/>
      <w:marBottom w:val="0"/>
      <w:divBdr>
        <w:top w:val="none" w:sz="0" w:space="0" w:color="auto"/>
        <w:left w:val="none" w:sz="0" w:space="0" w:color="auto"/>
        <w:bottom w:val="none" w:sz="0" w:space="0" w:color="auto"/>
        <w:right w:val="none" w:sz="0" w:space="0" w:color="auto"/>
      </w:divBdr>
    </w:div>
    <w:div w:id="1153522450">
      <w:bodyDiv w:val="1"/>
      <w:marLeft w:val="0"/>
      <w:marRight w:val="0"/>
      <w:marTop w:val="0"/>
      <w:marBottom w:val="0"/>
      <w:divBdr>
        <w:top w:val="none" w:sz="0" w:space="0" w:color="auto"/>
        <w:left w:val="none" w:sz="0" w:space="0" w:color="auto"/>
        <w:bottom w:val="none" w:sz="0" w:space="0" w:color="auto"/>
        <w:right w:val="none" w:sz="0" w:space="0" w:color="auto"/>
      </w:divBdr>
    </w:div>
    <w:div w:id="1155142839">
      <w:bodyDiv w:val="1"/>
      <w:marLeft w:val="0"/>
      <w:marRight w:val="0"/>
      <w:marTop w:val="0"/>
      <w:marBottom w:val="0"/>
      <w:divBdr>
        <w:top w:val="none" w:sz="0" w:space="0" w:color="auto"/>
        <w:left w:val="none" w:sz="0" w:space="0" w:color="auto"/>
        <w:bottom w:val="none" w:sz="0" w:space="0" w:color="auto"/>
        <w:right w:val="none" w:sz="0" w:space="0" w:color="auto"/>
      </w:divBdr>
      <w:divsChild>
        <w:div w:id="1096361304">
          <w:marLeft w:val="0"/>
          <w:marRight w:val="0"/>
          <w:marTop w:val="0"/>
          <w:marBottom w:val="0"/>
          <w:divBdr>
            <w:top w:val="none" w:sz="0" w:space="0" w:color="auto"/>
            <w:left w:val="none" w:sz="0" w:space="0" w:color="auto"/>
            <w:bottom w:val="none" w:sz="0" w:space="0" w:color="auto"/>
            <w:right w:val="none" w:sz="0" w:space="0" w:color="auto"/>
          </w:divBdr>
          <w:divsChild>
            <w:div w:id="1329602434">
              <w:marLeft w:val="0"/>
              <w:marRight w:val="0"/>
              <w:marTop w:val="0"/>
              <w:marBottom w:val="0"/>
              <w:divBdr>
                <w:top w:val="none" w:sz="0" w:space="0" w:color="auto"/>
                <w:left w:val="none" w:sz="0" w:space="0" w:color="auto"/>
                <w:bottom w:val="none" w:sz="0" w:space="0" w:color="auto"/>
                <w:right w:val="none" w:sz="0" w:space="0" w:color="auto"/>
              </w:divBdr>
            </w:div>
            <w:div w:id="14943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10004">
      <w:bodyDiv w:val="1"/>
      <w:marLeft w:val="0"/>
      <w:marRight w:val="0"/>
      <w:marTop w:val="0"/>
      <w:marBottom w:val="0"/>
      <w:divBdr>
        <w:top w:val="none" w:sz="0" w:space="0" w:color="auto"/>
        <w:left w:val="none" w:sz="0" w:space="0" w:color="auto"/>
        <w:bottom w:val="none" w:sz="0" w:space="0" w:color="auto"/>
        <w:right w:val="none" w:sz="0" w:space="0" w:color="auto"/>
      </w:divBdr>
    </w:div>
    <w:div w:id="1163278224">
      <w:bodyDiv w:val="1"/>
      <w:marLeft w:val="0"/>
      <w:marRight w:val="0"/>
      <w:marTop w:val="0"/>
      <w:marBottom w:val="0"/>
      <w:divBdr>
        <w:top w:val="none" w:sz="0" w:space="0" w:color="auto"/>
        <w:left w:val="none" w:sz="0" w:space="0" w:color="auto"/>
        <w:bottom w:val="none" w:sz="0" w:space="0" w:color="auto"/>
        <w:right w:val="none" w:sz="0" w:space="0" w:color="auto"/>
      </w:divBdr>
      <w:divsChild>
        <w:div w:id="1767727606">
          <w:marLeft w:val="821"/>
          <w:marRight w:val="0"/>
          <w:marTop w:val="0"/>
          <w:marBottom w:val="120"/>
          <w:divBdr>
            <w:top w:val="none" w:sz="0" w:space="0" w:color="auto"/>
            <w:left w:val="none" w:sz="0" w:space="0" w:color="auto"/>
            <w:bottom w:val="none" w:sz="0" w:space="0" w:color="auto"/>
            <w:right w:val="none" w:sz="0" w:space="0" w:color="auto"/>
          </w:divBdr>
        </w:div>
      </w:divsChild>
    </w:div>
    <w:div w:id="1163741052">
      <w:bodyDiv w:val="1"/>
      <w:marLeft w:val="0"/>
      <w:marRight w:val="0"/>
      <w:marTop w:val="0"/>
      <w:marBottom w:val="0"/>
      <w:divBdr>
        <w:top w:val="none" w:sz="0" w:space="0" w:color="auto"/>
        <w:left w:val="none" w:sz="0" w:space="0" w:color="auto"/>
        <w:bottom w:val="none" w:sz="0" w:space="0" w:color="auto"/>
        <w:right w:val="none" w:sz="0" w:space="0" w:color="auto"/>
      </w:divBdr>
      <w:divsChild>
        <w:div w:id="1759401335">
          <w:marLeft w:val="0"/>
          <w:marRight w:val="0"/>
          <w:marTop w:val="0"/>
          <w:marBottom w:val="0"/>
          <w:divBdr>
            <w:top w:val="none" w:sz="0" w:space="0" w:color="auto"/>
            <w:left w:val="none" w:sz="0" w:space="0" w:color="auto"/>
            <w:bottom w:val="none" w:sz="0" w:space="0" w:color="auto"/>
            <w:right w:val="none" w:sz="0" w:space="0" w:color="auto"/>
          </w:divBdr>
        </w:div>
      </w:divsChild>
    </w:div>
    <w:div w:id="1215703366">
      <w:bodyDiv w:val="1"/>
      <w:marLeft w:val="0"/>
      <w:marRight w:val="0"/>
      <w:marTop w:val="0"/>
      <w:marBottom w:val="0"/>
      <w:divBdr>
        <w:top w:val="none" w:sz="0" w:space="0" w:color="auto"/>
        <w:left w:val="none" w:sz="0" w:space="0" w:color="auto"/>
        <w:bottom w:val="none" w:sz="0" w:space="0" w:color="auto"/>
        <w:right w:val="none" w:sz="0" w:space="0" w:color="auto"/>
      </w:divBdr>
      <w:divsChild>
        <w:div w:id="1620146299">
          <w:marLeft w:val="547"/>
          <w:marRight w:val="0"/>
          <w:marTop w:val="0"/>
          <w:marBottom w:val="0"/>
          <w:divBdr>
            <w:top w:val="none" w:sz="0" w:space="0" w:color="auto"/>
            <w:left w:val="none" w:sz="0" w:space="0" w:color="auto"/>
            <w:bottom w:val="none" w:sz="0" w:space="0" w:color="auto"/>
            <w:right w:val="none" w:sz="0" w:space="0" w:color="auto"/>
          </w:divBdr>
        </w:div>
        <w:div w:id="1421756913">
          <w:marLeft w:val="547"/>
          <w:marRight w:val="0"/>
          <w:marTop w:val="0"/>
          <w:marBottom w:val="0"/>
          <w:divBdr>
            <w:top w:val="none" w:sz="0" w:space="0" w:color="auto"/>
            <w:left w:val="none" w:sz="0" w:space="0" w:color="auto"/>
            <w:bottom w:val="none" w:sz="0" w:space="0" w:color="auto"/>
            <w:right w:val="none" w:sz="0" w:space="0" w:color="auto"/>
          </w:divBdr>
        </w:div>
      </w:divsChild>
    </w:div>
    <w:div w:id="1241257938">
      <w:bodyDiv w:val="1"/>
      <w:marLeft w:val="0"/>
      <w:marRight w:val="0"/>
      <w:marTop w:val="0"/>
      <w:marBottom w:val="0"/>
      <w:divBdr>
        <w:top w:val="none" w:sz="0" w:space="0" w:color="auto"/>
        <w:left w:val="none" w:sz="0" w:space="0" w:color="auto"/>
        <w:bottom w:val="none" w:sz="0" w:space="0" w:color="auto"/>
        <w:right w:val="none" w:sz="0" w:space="0" w:color="auto"/>
      </w:divBdr>
      <w:divsChild>
        <w:div w:id="950088017">
          <w:marLeft w:val="475"/>
          <w:marRight w:val="0"/>
          <w:marTop w:val="106"/>
          <w:marBottom w:val="120"/>
          <w:divBdr>
            <w:top w:val="none" w:sz="0" w:space="0" w:color="auto"/>
            <w:left w:val="none" w:sz="0" w:space="0" w:color="auto"/>
            <w:bottom w:val="none" w:sz="0" w:space="0" w:color="auto"/>
            <w:right w:val="none" w:sz="0" w:space="0" w:color="auto"/>
          </w:divBdr>
        </w:div>
        <w:div w:id="452209763">
          <w:marLeft w:val="475"/>
          <w:marRight w:val="0"/>
          <w:marTop w:val="106"/>
          <w:marBottom w:val="120"/>
          <w:divBdr>
            <w:top w:val="none" w:sz="0" w:space="0" w:color="auto"/>
            <w:left w:val="none" w:sz="0" w:space="0" w:color="auto"/>
            <w:bottom w:val="none" w:sz="0" w:space="0" w:color="auto"/>
            <w:right w:val="none" w:sz="0" w:space="0" w:color="auto"/>
          </w:divBdr>
        </w:div>
        <w:div w:id="1263295896">
          <w:marLeft w:val="475"/>
          <w:marRight w:val="0"/>
          <w:marTop w:val="106"/>
          <w:marBottom w:val="120"/>
          <w:divBdr>
            <w:top w:val="none" w:sz="0" w:space="0" w:color="auto"/>
            <w:left w:val="none" w:sz="0" w:space="0" w:color="auto"/>
            <w:bottom w:val="none" w:sz="0" w:space="0" w:color="auto"/>
            <w:right w:val="none" w:sz="0" w:space="0" w:color="auto"/>
          </w:divBdr>
        </w:div>
        <w:div w:id="1543253821">
          <w:marLeft w:val="475"/>
          <w:marRight w:val="0"/>
          <w:marTop w:val="106"/>
          <w:marBottom w:val="120"/>
          <w:divBdr>
            <w:top w:val="none" w:sz="0" w:space="0" w:color="auto"/>
            <w:left w:val="none" w:sz="0" w:space="0" w:color="auto"/>
            <w:bottom w:val="none" w:sz="0" w:space="0" w:color="auto"/>
            <w:right w:val="none" w:sz="0" w:space="0" w:color="auto"/>
          </w:divBdr>
        </w:div>
        <w:div w:id="422995283">
          <w:marLeft w:val="475"/>
          <w:marRight w:val="0"/>
          <w:marTop w:val="106"/>
          <w:marBottom w:val="120"/>
          <w:divBdr>
            <w:top w:val="none" w:sz="0" w:space="0" w:color="auto"/>
            <w:left w:val="none" w:sz="0" w:space="0" w:color="auto"/>
            <w:bottom w:val="none" w:sz="0" w:space="0" w:color="auto"/>
            <w:right w:val="none" w:sz="0" w:space="0" w:color="auto"/>
          </w:divBdr>
        </w:div>
      </w:divsChild>
    </w:div>
    <w:div w:id="1244336797">
      <w:bodyDiv w:val="1"/>
      <w:marLeft w:val="0"/>
      <w:marRight w:val="0"/>
      <w:marTop w:val="0"/>
      <w:marBottom w:val="0"/>
      <w:divBdr>
        <w:top w:val="none" w:sz="0" w:space="0" w:color="auto"/>
        <w:left w:val="none" w:sz="0" w:space="0" w:color="auto"/>
        <w:bottom w:val="none" w:sz="0" w:space="0" w:color="auto"/>
        <w:right w:val="none" w:sz="0" w:space="0" w:color="auto"/>
      </w:divBdr>
      <w:divsChild>
        <w:div w:id="1434208756">
          <w:marLeft w:val="475"/>
          <w:marRight w:val="0"/>
          <w:marTop w:val="115"/>
          <w:marBottom w:val="120"/>
          <w:divBdr>
            <w:top w:val="none" w:sz="0" w:space="0" w:color="auto"/>
            <w:left w:val="none" w:sz="0" w:space="0" w:color="auto"/>
            <w:bottom w:val="none" w:sz="0" w:space="0" w:color="auto"/>
            <w:right w:val="none" w:sz="0" w:space="0" w:color="auto"/>
          </w:divBdr>
        </w:div>
        <w:div w:id="1778867175">
          <w:marLeft w:val="475"/>
          <w:marRight w:val="0"/>
          <w:marTop w:val="115"/>
          <w:marBottom w:val="120"/>
          <w:divBdr>
            <w:top w:val="none" w:sz="0" w:space="0" w:color="auto"/>
            <w:left w:val="none" w:sz="0" w:space="0" w:color="auto"/>
            <w:bottom w:val="none" w:sz="0" w:space="0" w:color="auto"/>
            <w:right w:val="none" w:sz="0" w:space="0" w:color="auto"/>
          </w:divBdr>
        </w:div>
        <w:div w:id="1812600385">
          <w:marLeft w:val="475"/>
          <w:marRight w:val="0"/>
          <w:marTop w:val="115"/>
          <w:marBottom w:val="120"/>
          <w:divBdr>
            <w:top w:val="none" w:sz="0" w:space="0" w:color="auto"/>
            <w:left w:val="none" w:sz="0" w:space="0" w:color="auto"/>
            <w:bottom w:val="none" w:sz="0" w:space="0" w:color="auto"/>
            <w:right w:val="none" w:sz="0" w:space="0" w:color="auto"/>
          </w:divBdr>
        </w:div>
        <w:div w:id="655497258">
          <w:marLeft w:val="475"/>
          <w:marRight w:val="0"/>
          <w:marTop w:val="115"/>
          <w:marBottom w:val="120"/>
          <w:divBdr>
            <w:top w:val="none" w:sz="0" w:space="0" w:color="auto"/>
            <w:left w:val="none" w:sz="0" w:space="0" w:color="auto"/>
            <w:bottom w:val="none" w:sz="0" w:space="0" w:color="auto"/>
            <w:right w:val="none" w:sz="0" w:space="0" w:color="auto"/>
          </w:divBdr>
        </w:div>
        <w:div w:id="1554728333">
          <w:marLeft w:val="475"/>
          <w:marRight w:val="0"/>
          <w:marTop w:val="115"/>
          <w:marBottom w:val="120"/>
          <w:divBdr>
            <w:top w:val="none" w:sz="0" w:space="0" w:color="auto"/>
            <w:left w:val="none" w:sz="0" w:space="0" w:color="auto"/>
            <w:bottom w:val="none" w:sz="0" w:space="0" w:color="auto"/>
            <w:right w:val="none" w:sz="0" w:space="0" w:color="auto"/>
          </w:divBdr>
        </w:div>
      </w:divsChild>
    </w:div>
    <w:div w:id="1262255189">
      <w:bodyDiv w:val="1"/>
      <w:marLeft w:val="0"/>
      <w:marRight w:val="0"/>
      <w:marTop w:val="0"/>
      <w:marBottom w:val="0"/>
      <w:divBdr>
        <w:top w:val="none" w:sz="0" w:space="0" w:color="auto"/>
        <w:left w:val="none" w:sz="0" w:space="0" w:color="auto"/>
        <w:bottom w:val="none" w:sz="0" w:space="0" w:color="auto"/>
        <w:right w:val="none" w:sz="0" w:space="0" w:color="auto"/>
      </w:divBdr>
    </w:div>
    <w:div w:id="1283489631">
      <w:bodyDiv w:val="1"/>
      <w:marLeft w:val="0"/>
      <w:marRight w:val="0"/>
      <w:marTop w:val="0"/>
      <w:marBottom w:val="0"/>
      <w:divBdr>
        <w:top w:val="none" w:sz="0" w:space="0" w:color="auto"/>
        <w:left w:val="none" w:sz="0" w:space="0" w:color="auto"/>
        <w:bottom w:val="none" w:sz="0" w:space="0" w:color="auto"/>
        <w:right w:val="none" w:sz="0" w:space="0" w:color="auto"/>
      </w:divBdr>
      <w:divsChild>
        <w:div w:id="1495729501">
          <w:marLeft w:val="0"/>
          <w:marRight w:val="0"/>
          <w:marTop w:val="0"/>
          <w:marBottom w:val="0"/>
          <w:divBdr>
            <w:top w:val="none" w:sz="0" w:space="0" w:color="auto"/>
            <w:left w:val="none" w:sz="0" w:space="0" w:color="auto"/>
            <w:bottom w:val="none" w:sz="0" w:space="0" w:color="auto"/>
            <w:right w:val="none" w:sz="0" w:space="0" w:color="auto"/>
          </w:divBdr>
        </w:div>
      </w:divsChild>
    </w:div>
    <w:div w:id="1297679185">
      <w:bodyDiv w:val="1"/>
      <w:marLeft w:val="0"/>
      <w:marRight w:val="0"/>
      <w:marTop w:val="0"/>
      <w:marBottom w:val="0"/>
      <w:divBdr>
        <w:top w:val="none" w:sz="0" w:space="0" w:color="auto"/>
        <w:left w:val="none" w:sz="0" w:space="0" w:color="auto"/>
        <w:bottom w:val="none" w:sz="0" w:space="0" w:color="auto"/>
        <w:right w:val="none" w:sz="0" w:space="0" w:color="auto"/>
      </w:divBdr>
      <w:divsChild>
        <w:div w:id="635989423">
          <w:marLeft w:val="0"/>
          <w:marRight w:val="0"/>
          <w:marTop w:val="0"/>
          <w:marBottom w:val="0"/>
          <w:divBdr>
            <w:top w:val="none" w:sz="0" w:space="0" w:color="auto"/>
            <w:left w:val="none" w:sz="0" w:space="0" w:color="auto"/>
            <w:bottom w:val="none" w:sz="0" w:space="0" w:color="auto"/>
            <w:right w:val="none" w:sz="0" w:space="0" w:color="auto"/>
          </w:divBdr>
        </w:div>
        <w:div w:id="1789860204">
          <w:marLeft w:val="0"/>
          <w:marRight w:val="0"/>
          <w:marTop w:val="0"/>
          <w:marBottom w:val="0"/>
          <w:divBdr>
            <w:top w:val="none" w:sz="0" w:space="0" w:color="auto"/>
            <w:left w:val="none" w:sz="0" w:space="0" w:color="auto"/>
            <w:bottom w:val="none" w:sz="0" w:space="0" w:color="auto"/>
            <w:right w:val="none" w:sz="0" w:space="0" w:color="auto"/>
          </w:divBdr>
        </w:div>
      </w:divsChild>
    </w:div>
    <w:div w:id="1314793703">
      <w:bodyDiv w:val="1"/>
      <w:marLeft w:val="0"/>
      <w:marRight w:val="0"/>
      <w:marTop w:val="0"/>
      <w:marBottom w:val="0"/>
      <w:divBdr>
        <w:top w:val="none" w:sz="0" w:space="0" w:color="auto"/>
        <w:left w:val="none" w:sz="0" w:space="0" w:color="auto"/>
        <w:bottom w:val="none" w:sz="0" w:space="0" w:color="auto"/>
        <w:right w:val="none" w:sz="0" w:space="0" w:color="auto"/>
      </w:divBdr>
      <w:divsChild>
        <w:div w:id="2076580964">
          <w:marLeft w:val="475"/>
          <w:marRight w:val="0"/>
          <w:marTop w:val="115"/>
          <w:marBottom w:val="120"/>
          <w:divBdr>
            <w:top w:val="none" w:sz="0" w:space="0" w:color="auto"/>
            <w:left w:val="none" w:sz="0" w:space="0" w:color="auto"/>
            <w:bottom w:val="none" w:sz="0" w:space="0" w:color="auto"/>
            <w:right w:val="none" w:sz="0" w:space="0" w:color="auto"/>
          </w:divBdr>
        </w:div>
        <w:div w:id="607349563">
          <w:marLeft w:val="475"/>
          <w:marRight w:val="0"/>
          <w:marTop w:val="115"/>
          <w:marBottom w:val="120"/>
          <w:divBdr>
            <w:top w:val="none" w:sz="0" w:space="0" w:color="auto"/>
            <w:left w:val="none" w:sz="0" w:space="0" w:color="auto"/>
            <w:bottom w:val="none" w:sz="0" w:space="0" w:color="auto"/>
            <w:right w:val="none" w:sz="0" w:space="0" w:color="auto"/>
          </w:divBdr>
        </w:div>
        <w:div w:id="1392918916">
          <w:marLeft w:val="475"/>
          <w:marRight w:val="0"/>
          <w:marTop w:val="115"/>
          <w:marBottom w:val="120"/>
          <w:divBdr>
            <w:top w:val="none" w:sz="0" w:space="0" w:color="auto"/>
            <w:left w:val="none" w:sz="0" w:space="0" w:color="auto"/>
            <w:bottom w:val="none" w:sz="0" w:space="0" w:color="auto"/>
            <w:right w:val="none" w:sz="0" w:space="0" w:color="auto"/>
          </w:divBdr>
        </w:div>
        <w:div w:id="203712312">
          <w:marLeft w:val="475"/>
          <w:marRight w:val="0"/>
          <w:marTop w:val="115"/>
          <w:marBottom w:val="120"/>
          <w:divBdr>
            <w:top w:val="none" w:sz="0" w:space="0" w:color="auto"/>
            <w:left w:val="none" w:sz="0" w:space="0" w:color="auto"/>
            <w:bottom w:val="none" w:sz="0" w:space="0" w:color="auto"/>
            <w:right w:val="none" w:sz="0" w:space="0" w:color="auto"/>
          </w:divBdr>
        </w:div>
        <w:div w:id="1586299552">
          <w:marLeft w:val="475"/>
          <w:marRight w:val="0"/>
          <w:marTop w:val="115"/>
          <w:marBottom w:val="120"/>
          <w:divBdr>
            <w:top w:val="none" w:sz="0" w:space="0" w:color="auto"/>
            <w:left w:val="none" w:sz="0" w:space="0" w:color="auto"/>
            <w:bottom w:val="none" w:sz="0" w:space="0" w:color="auto"/>
            <w:right w:val="none" w:sz="0" w:space="0" w:color="auto"/>
          </w:divBdr>
        </w:div>
        <w:div w:id="287325168">
          <w:marLeft w:val="475"/>
          <w:marRight w:val="0"/>
          <w:marTop w:val="115"/>
          <w:marBottom w:val="120"/>
          <w:divBdr>
            <w:top w:val="none" w:sz="0" w:space="0" w:color="auto"/>
            <w:left w:val="none" w:sz="0" w:space="0" w:color="auto"/>
            <w:bottom w:val="none" w:sz="0" w:space="0" w:color="auto"/>
            <w:right w:val="none" w:sz="0" w:space="0" w:color="auto"/>
          </w:divBdr>
        </w:div>
        <w:div w:id="1803696754">
          <w:marLeft w:val="475"/>
          <w:marRight w:val="0"/>
          <w:marTop w:val="115"/>
          <w:marBottom w:val="120"/>
          <w:divBdr>
            <w:top w:val="none" w:sz="0" w:space="0" w:color="auto"/>
            <w:left w:val="none" w:sz="0" w:space="0" w:color="auto"/>
            <w:bottom w:val="none" w:sz="0" w:space="0" w:color="auto"/>
            <w:right w:val="none" w:sz="0" w:space="0" w:color="auto"/>
          </w:divBdr>
        </w:div>
      </w:divsChild>
    </w:div>
    <w:div w:id="1327442884">
      <w:bodyDiv w:val="1"/>
      <w:marLeft w:val="0"/>
      <w:marRight w:val="0"/>
      <w:marTop w:val="0"/>
      <w:marBottom w:val="0"/>
      <w:divBdr>
        <w:top w:val="none" w:sz="0" w:space="0" w:color="auto"/>
        <w:left w:val="none" w:sz="0" w:space="0" w:color="auto"/>
        <w:bottom w:val="none" w:sz="0" w:space="0" w:color="auto"/>
        <w:right w:val="none" w:sz="0" w:space="0" w:color="auto"/>
      </w:divBdr>
    </w:div>
    <w:div w:id="1367364736">
      <w:bodyDiv w:val="1"/>
      <w:marLeft w:val="0"/>
      <w:marRight w:val="0"/>
      <w:marTop w:val="0"/>
      <w:marBottom w:val="0"/>
      <w:divBdr>
        <w:top w:val="none" w:sz="0" w:space="0" w:color="auto"/>
        <w:left w:val="none" w:sz="0" w:space="0" w:color="auto"/>
        <w:bottom w:val="none" w:sz="0" w:space="0" w:color="auto"/>
        <w:right w:val="none" w:sz="0" w:space="0" w:color="auto"/>
      </w:divBdr>
    </w:div>
    <w:div w:id="1408527586">
      <w:bodyDiv w:val="1"/>
      <w:marLeft w:val="0"/>
      <w:marRight w:val="0"/>
      <w:marTop w:val="0"/>
      <w:marBottom w:val="0"/>
      <w:divBdr>
        <w:top w:val="none" w:sz="0" w:space="0" w:color="auto"/>
        <w:left w:val="none" w:sz="0" w:space="0" w:color="auto"/>
        <w:bottom w:val="none" w:sz="0" w:space="0" w:color="auto"/>
        <w:right w:val="none" w:sz="0" w:space="0" w:color="auto"/>
      </w:divBdr>
      <w:divsChild>
        <w:div w:id="1912109048">
          <w:marLeft w:val="288"/>
          <w:marRight w:val="0"/>
          <w:marTop w:val="115"/>
          <w:marBottom w:val="120"/>
          <w:divBdr>
            <w:top w:val="none" w:sz="0" w:space="0" w:color="auto"/>
            <w:left w:val="none" w:sz="0" w:space="0" w:color="auto"/>
            <w:bottom w:val="none" w:sz="0" w:space="0" w:color="auto"/>
            <w:right w:val="none" w:sz="0" w:space="0" w:color="auto"/>
          </w:divBdr>
        </w:div>
        <w:div w:id="1388602421">
          <w:marLeft w:val="288"/>
          <w:marRight w:val="0"/>
          <w:marTop w:val="115"/>
          <w:marBottom w:val="120"/>
          <w:divBdr>
            <w:top w:val="none" w:sz="0" w:space="0" w:color="auto"/>
            <w:left w:val="none" w:sz="0" w:space="0" w:color="auto"/>
            <w:bottom w:val="none" w:sz="0" w:space="0" w:color="auto"/>
            <w:right w:val="none" w:sz="0" w:space="0" w:color="auto"/>
          </w:divBdr>
        </w:div>
        <w:div w:id="136579885">
          <w:marLeft w:val="288"/>
          <w:marRight w:val="0"/>
          <w:marTop w:val="115"/>
          <w:marBottom w:val="120"/>
          <w:divBdr>
            <w:top w:val="none" w:sz="0" w:space="0" w:color="auto"/>
            <w:left w:val="none" w:sz="0" w:space="0" w:color="auto"/>
            <w:bottom w:val="none" w:sz="0" w:space="0" w:color="auto"/>
            <w:right w:val="none" w:sz="0" w:space="0" w:color="auto"/>
          </w:divBdr>
        </w:div>
      </w:divsChild>
    </w:div>
    <w:div w:id="1418593566">
      <w:bodyDiv w:val="1"/>
      <w:marLeft w:val="0"/>
      <w:marRight w:val="0"/>
      <w:marTop w:val="0"/>
      <w:marBottom w:val="0"/>
      <w:divBdr>
        <w:top w:val="none" w:sz="0" w:space="0" w:color="auto"/>
        <w:left w:val="none" w:sz="0" w:space="0" w:color="auto"/>
        <w:bottom w:val="none" w:sz="0" w:space="0" w:color="auto"/>
        <w:right w:val="none" w:sz="0" w:space="0" w:color="auto"/>
      </w:divBdr>
    </w:div>
    <w:div w:id="1419326890">
      <w:bodyDiv w:val="1"/>
      <w:marLeft w:val="0"/>
      <w:marRight w:val="0"/>
      <w:marTop w:val="0"/>
      <w:marBottom w:val="0"/>
      <w:divBdr>
        <w:top w:val="none" w:sz="0" w:space="0" w:color="auto"/>
        <w:left w:val="none" w:sz="0" w:space="0" w:color="auto"/>
        <w:bottom w:val="none" w:sz="0" w:space="0" w:color="auto"/>
        <w:right w:val="none" w:sz="0" w:space="0" w:color="auto"/>
      </w:divBdr>
    </w:div>
    <w:div w:id="1433355030">
      <w:bodyDiv w:val="1"/>
      <w:marLeft w:val="0"/>
      <w:marRight w:val="0"/>
      <w:marTop w:val="0"/>
      <w:marBottom w:val="0"/>
      <w:divBdr>
        <w:top w:val="none" w:sz="0" w:space="0" w:color="auto"/>
        <w:left w:val="none" w:sz="0" w:space="0" w:color="auto"/>
        <w:bottom w:val="none" w:sz="0" w:space="0" w:color="auto"/>
        <w:right w:val="none" w:sz="0" w:space="0" w:color="auto"/>
      </w:divBdr>
      <w:divsChild>
        <w:div w:id="1727996381">
          <w:marLeft w:val="475"/>
          <w:marRight w:val="0"/>
          <w:marTop w:val="115"/>
          <w:marBottom w:val="120"/>
          <w:divBdr>
            <w:top w:val="none" w:sz="0" w:space="0" w:color="auto"/>
            <w:left w:val="none" w:sz="0" w:space="0" w:color="auto"/>
            <w:bottom w:val="none" w:sz="0" w:space="0" w:color="auto"/>
            <w:right w:val="none" w:sz="0" w:space="0" w:color="auto"/>
          </w:divBdr>
        </w:div>
        <w:div w:id="297996053">
          <w:marLeft w:val="994"/>
          <w:marRight w:val="0"/>
          <w:marTop w:val="96"/>
          <w:marBottom w:val="120"/>
          <w:divBdr>
            <w:top w:val="none" w:sz="0" w:space="0" w:color="auto"/>
            <w:left w:val="none" w:sz="0" w:space="0" w:color="auto"/>
            <w:bottom w:val="none" w:sz="0" w:space="0" w:color="auto"/>
            <w:right w:val="none" w:sz="0" w:space="0" w:color="auto"/>
          </w:divBdr>
        </w:div>
        <w:div w:id="1516264822">
          <w:marLeft w:val="994"/>
          <w:marRight w:val="0"/>
          <w:marTop w:val="96"/>
          <w:marBottom w:val="120"/>
          <w:divBdr>
            <w:top w:val="none" w:sz="0" w:space="0" w:color="auto"/>
            <w:left w:val="none" w:sz="0" w:space="0" w:color="auto"/>
            <w:bottom w:val="none" w:sz="0" w:space="0" w:color="auto"/>
            <w:right w:val="none" w:sz="0" w:space="0" w:color="auto"/>
          </w:divBdr>
        </w:div>
        <w:div w:id="138377649">
          <w:marLeft w:val="994"/>
          <w:marRight w:val="0"/>
          <w:marTop w:val="96"/>
          <w:marBottom w:val="120"/>
          <w:divBdr>
            <w:top w:val="none" w:sz="0" w:space="0" w:color="auto"/>
            <w:left w:val="none" w:sz="0" w:space="0" w:color="auto"/>
            <w:bottom w:val="none" w:sz="0" w:space="0" w:color="auto"/>
            <w:right w:val="none" w:sz="0" w:space="0" w:color="auto"/>
          </w:divBdr>
        </w:div>
        <w:div w:id="140653945">
          <w:marLeft w:val="994"/>
          <w:marRight w:val="0"/>
          <w:marTop w:val="96"/>
          <w:marBottom w:val="120"/>
          <w:divBdr>
            <w:top w:val="none" w:sz="0" w:space="0" w:color="auto"/>
            <w:left w:val="none" w:sz="0" w:space="0" w:color="auto"/>
            <w:bottom w:val="none" w:sz="0" w:space="0" w:color="auto"/>
            <w:right w:val="none" w:sz="0" w:space="0" w:color="auto"/>
          </w:divBdr>
        </w:div>
        <w:div w:id="1215236349">
          <w:marLeft w:val="994"/>
          <w:marRight w:val="0"/>
          <w:marTop w:val="96"/>
          <w:marBottom w:val="120"/>
          <w:divBdr>
            <w:top w:val="none" w:sz="0" w:space="0" w:color="auto"/>
            <w:left w:val="none" w:sz="0" w:space="0" w:color="auto"/>
            <w:bottom w:val="none" w:sz="0" w:space="0" w:color="auto"/>
            <w:right w:val="none" w:sz="0" w:space="0" w:color="auto"/>
          </w:divBdr>
        </w:div>
        <w:div w:id="1288246049">
          <w:marLeft w:val="994"/>
          <w:marRight w:val="0"/>
          <w:marTop w:val="96"/>
          <w:marBottom w:val="120"/>
          <w:divBdr>
            <w:top w:val="none" w:sz="0" w:space="0" w:color="auto"/>
            <w:left w:val="none" w:sz="0" w:space="0" w:color="auto"/>
            <w:bottom w:val="none" w:sz="0" w:space="0" w:color="auto"/>
            <w:right w:val="none" w:sz="0" w:space="0" w:color="auto"/>
          </w:divBdr>
        </w:div>
      </w:divsChild>
    </w:div>
    <w:div w:id="1455901136">
      <w:bodyDiv w:val="1"/>
      <w:marLeft w:val="0"/>
      <w:marRight w:val="0"/>
      <w:marTop w:val="0"/>
      <w:marBottom w:val="0"/>
      <w:divBdr>
        <w:top w:val="none" w:sz="0" w:space="0" w:color="auto"/>
        <w:left w:val="none" w:sz="0" w:space="0" w:color="auto"/>
        <w:bottom w:val="none" w:sz="0" w:space="0" w:color="auto"/>
        <w:right w:val="none" w:sz="0" w:space="0" w:color="auto"/>
      </w:divBdr>
      <w:divsChild>
        <w:div w:id="337465726">
          <w:marLeft w:val="475"/>
          <w:marRight w:val="0"/>
          <w:marTop w:val="115"/>
          <w:marBottom w:val="120"/>
          <w:divBdr>
            <w:top w:val="none" w:sz="0" w:space="0" w:color="auto"/>
            <w:left w:val="none" w:sz="0" w:space="0" w:color="auto"/>
            <w:bottom w:val="none" w:sz="0" w:space="0" w:color="auto"/>
            <w:right w:val="none" w:sz="0" w:space="0" w:color="auto"/>
          </w:divBdr>
        </w:div>
        <w:div w:id="1504080223">
          <w:marLeft w:val="475"/>
          <w:marRight w:val="0"/>
          <w:marTop w:val="115"/>
          <w:marBottom w:val="120"/>
          <w:divBdr>
            <w:top w:val="none" w:sz="0" w:space="0" w:color="auto"/>
            <w:left w:val="none" w:sz="0" w:space="0" w:color="auto"/>
            <w:bottom w:val="none" w:sz="0" w:space="0" w:color="auto"/>
            <w:right w:val="none" w:sz="0" w:space="0" w:color="auto"/>
          </w:divBdr>
        </w:div>
        <w:div w:id="1660886970">
          <w:marLeft w:val="475"/>
          <w:marRight w:val="0"/>
          <w:marTop w:val="115"/>
          <w:marBottom w:val="120"/>
          <w:divBdr>
            <w:top w:val="none" w:sz="0" w:space="0" w:color="auto"/>
            <w:left w:val="none" w:sz="0" w:space="0" w:color="auto"/>
            <w:bottom w:val="none" w:sz="0" w:space="0" w:color="auto"/>
            <w:right w:val="none" w:sz="0" w:space="0" w:color="auto"/>
          </w:divBdr>
        </w:div>
        <w:div w:id="431778822">
          <w:marLeft w:val="475"/>
          <w:marRight w:val="0"/>
          <w:marTop w:val="115"/>
          <w:marBottom w:val="120"/>
          <w:divBdr>
            <w:top w:val="none" w:sz="0" w:space="0" w:color="auto"/>
            <w:left w:val="none" w:sz="0" w:space="0" w:color="auto"/>
            <w:bottom w:val="none" w:sz="0" w:space="0" w:color="auto"/>
            <w:right w:val="none" w:sz="0" w:space="0" w:color="auto"/>
          </w:divBdr>
        </w:div>
      </w:divsChild>
    </w:div>
    <w:div w:id="1464158888">
      <w:bodyDiv w:val="1"/>
      <w:marLeft w:val="0"/>
      <w:marRight w:val="0"/>
      <w:marTop w:val="0"/>
      <w:marBottom w:val="0"/>
      <w:divBdr>
        <w:top w:val="none" w:sz="0" w:space="0" w:color="auto"/>
        <w:left w:val="none" w:sz="0" w:space="0" w:color="auto"/>
        <w:bottom w:val="none" w:sz="0" w:space="0" w:color="auto"/>
        <w:right w:val="none" w:sz="0" w:space="0" w:color="auto"/>
      </w:divBdr>
      <w:divsChild>
        <w:div w:id="652106240">
          <w:marLeft w:val="288"/>
          <w:marRight w:val="0"/>
          <w:marTop w:val="115"/>
          <w:marBottom w:val="120"/>
          <w:divBdr>
            <w:top w:val="none" w:sz="0" w:space="0" w:color="auto"/>
            <w:left w:val="none" w:sz="0" w:space="0" w:color="auto"/>
            <w:bottom w:val="none" w:sz="0" w:space="0" w:color="auto"/>
            <w:right w:val="none" w:sz="0" w:space="0" w:color="auto"/>
          </w:divBdr>
        </w:div>
        <w:div w:id="1067147890">
          <w:marLeft w:val="288"/>
          <w:marRight w:val="0"/>
          <w:marTop w:val="115"/>
          <w:marBottom w:val="120"/>
          <w:divBdr>
            <w:top w:val="none" w:sz="0" w:space="0" w:color="auto"/>
            <w:left w:val="none" w:sz="0" w:space="0" w:color="auto"/>
            <w:bottom w:val="none" w:sz="0" w:space="0" w:color="auto"/>
            <w:right w:val="none" w:sz="0" w:space="0" w:color="auto"/>
          </w:divBdr>
        </w:div>
        <w:div w:id="1472362184">
          <w:marLeft w:val="288"/>
          <w:marRight w:val="0"/>
          <w:marTop w:val="115"/>
          <w:marBottom w:val="120"/>
          <w:divBdr>
            <w:top w:val="none" w:sz="0" w:space="0" w:color="auto"/>
            <w:left w:val="none" w:sz="0" w:space="0" w:color="auto"/>
            <w:bottom w:val="none" w:sz="0" w:space="0" w:color="auto"/>
            <w:right w:val="none" w:sz="0" w:space="0" w:color="auto"/>
          </w:divBdr>
        </w:div>
        <w:div w:id="912349179">
          <w:marLeft w:val="288"/>
          <w:marRight w:val="0"/>
          <w:marTop w:val="115"/>
          <w:marBottom w:val="120"/>
          <w:divBdr>
            <w:top w:val="none" w:sz="0" w:space="0" w:color="auto"/>
            <w:left w:val="none" w:sz="0" w:space="0" w:color="auto"/>
            <w:bottom w:val="none" w:sz="0" w:space="0" w:color="auto"/>
            <w:right w:val="none" w:sz="0" w:space="0" w:color="auto"/>
          </w:divBdr>
        </w:div>
      </w:divsChild>
    </w:div>
    <w:div w:id="1496611786">
      <w:bodyDiv w:val="1"/>
      <w:marLeft w:val="0"/>
      <w:marRight w:val="0"/>
      <w:marTop w:val="0"/>
      <w:marBottom w:val="0"/>
      <w:divBdr>
        <w:top w:val="none" w:sz="0" w:space="0" w:color="auto"/>
        <w:left w:val="none" w:sz="0" w:space="0" w:color="auto"/>
        <w:bottom w:val="none" w:sz="0" w:space="0" w:color="auto"/>
        <w:right w:val="none" w:sz="0" w:space="0" w:color="auto"/>
      </w:divBdr>
      <w:divsChild>
        <w:div w:id="988048090">
          <w:marLeft w:val="0"/>
          <w:marRight w:val="0"/>
          <w:marTop w:val="0"/>
          <w:marBottom w:val="0"/>
          <w:divBdr>
            <w:top w:val="none" w:sz="0" w:space="0" w:color="auto"/>
            <w:left w:val="none" w:sz="0" w:space="0" w:color="auto"/>
            <w:bottom w:val="none" w:sz="0" w:space="0" w:color="auto"/>
            <w:right w:val="none" w:sz="0" w:space="0" w:color="auto"/>
          </w:divBdr>
          <w:divsChild>
            <w:div w:id="1551307245">
              <w:marLeft w:val="0"/>
              <w:marRight w:val="0"/>
              <w:marTop w:val="0"/>
              <w:marBottom w:val="0"/>
              <w:divBdr>
                <w:top w:val="none" w:sz="0" w:space="0" w:color="auto"/>
                <w:left w:val="none" w:sz="0" w:space="0" w:color="auto"/>
                <w:bottom w:val="none" w:sz="0" w:space="0" w:color="auto"/>
                <w:right w:val="none" w:sz="0" w:space="0" w:color="auto"/>
              </w:divBdr>
              <w:divsChild>
                <w:div w:id="65302361">
                  <w:marLeft w:val="0"/>
                  <w:marRight w:val="0"/>
                  <w:marTop w:val="0"/>
                  <w:marBottom w:val="0"/>
                  <w:divBdr>
                    <w:top w:val="none" w:sz="0" w:space="0" w:color="auto"/>
                    <w:left w:val="none" w:sz="0" w:space="0" w:color="auto"/>
                    <w:bottom w:val="none" w:sz="0" w:space="0" w:color="auto"/>
                    <w:right w:val="none" w:sz="0" w:space="0" w:color="auto"/>
                  </w:divBdr>
                  <w:divsChild>
                    <w:div w:id="2144810535">
                      <w:marLeft w:val="0"/>
                      <w:marRight w:val="0"/>
                      <w:marTop w:val="0"/>
                      <w:marBottom w:val="0"/>
                      <w:divBdr>
                        <w:top w:val="none" w:sz="0" w:space="0" w:color="auto"/>
                        <w:left w:val="none" w:sz="0" w:space="0" w:color="auto"/>
                        <w:bottom w:val="none" w:sz="0" w:space="0" w:color="auto"/>
                        <w:right w:val="none" w:sz="0" w:space="0" w:color="auto"/>
                      </w:divBdr>
                      <w:divsChild>
                        <w:div w:id="1680620094">
                          <w:marLeft w:val="0"/>
                          <w:marRight w:val="0"/>
                          <w:marTop w:val="0"/>
                          <w:marBottom w:val="0"/>
                          <w:divBdr>
                            <w:top w:val="none" w:sz="0" w:space="0" w:color="auto"/>
                            <w:left w:val="none" w:sz="0" w:space="0" w:color="auto"/>
                            <w:bottom w:val="none" w:sz="0" w:space="0" w:color="auto"/>
                            <w:right w:val="none" w:sz="0" w:space="0" w:color="auto"/>
                          </w:divBdr>
                          <w:divsChild>
                            <w:div w:id="514465406">
                              <w:marLeft w:val="0"/>
                              <w:marRight w:val="0"/>
                              <w:marTop w:val="0"/>
                              <w:marBottom w:val="0"/>
                              <w:divBdr>
                                <w:top w:val="none" w:sz="0" w:space="0" w:color="auto"/>
                                <w:left w:val="none" w:sz="0" w:space="0" w:color="auto"/>
                                <w:bottom w:val="none" w:sz="0" w:space="0" w:color="auto"/>
                                <w:right w:val="none" w:sz="0" w:space="0" w:color="auto"/>
                              </w:divBdr>
                              <w:divsChild>
                                <w:div w:id="1450511128">
                                  <w:marLeft w:val="0"/>
                                  <w:marRight w:val="0"/>
                                  <w:marTop w:val="0"/>
                                  <w:marBottom w:val="0"/>
                                  <w:divBdr>
                                    <w:top w:val="none" w:sz="0" w:space="0" w:color="auto"/>
                                    <w:left w:val="none" w:sz="0" w:space="0" w:color="auto"/>
                                    <w:bottom w:val="none" w:sz="0" w:space="0" w:color="auto"/>
                                    <w:right w:val="none" w:sz="0" w:space="0" w:color="auto"/>
                                  </w:divBdr>
                                </w:div>
                                <w:div w:id="626162579">
                                  <w:marLeft w:val="0"/>
                                  <w:marRight w:val="0"/>
                                  <w:marTop w:val="0"/>
                                  <w:marBottom w:val="0"/>
                                  <w:divBdr>
                                    <w:top w:val="none" w:sz="0" w:space="0" w:color="auto"/>
                                    <w:left w:val="none" w:sz="0" w:space="0" w:color="auto"/>
                                    <w:bottom w:val="none" w:sz="0" w:space="0" w:color="auto"/>
                                    <w:right w:val="none" w:sz="0" w:space="0" w:color="auto"/>
                                  </w:divBdr>
                                </w:div>
                                <w:div w:id="1457944341">
                                  <w:marLeft w:val="0"/>
                                  <w:marRight w:val="0"/>
                                  <w:marTop w:val="0"/>
                                  <w:marBottom w:val="0"/>
                                  <w:divBdr>
                                    <w:top w:val="none" w:sz="0" w:space="0" w:color="auto"/>
                                    <w:left w:val="none" w:sz="0" w:space="0" w:color="auto"/>
                                    <w:bottom w:val="none" w:sz="0" w:space="0" w:color="auto"/>
                                    <w:right w:val="none" w:sz="0" w:space="0" w:color="auto"/>
                                  </w:divBdr>
                                </w:div>
                                <w:div w:id="686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007147">
              <w:marLeft w:val="0"/>
              <w:marRight w:val="0"/>
              <w:marTop w:val="0"/>
              <w:marBottom w:val="0"/>
              <w:divBdr>
                <w:top w:val="none" w:sz="0" w:space="0" w:color="auto"/>
                <w:left w:val="none" w:sz="0" w:space="0" w:color="auto"/>
                <w:bottom w:val="none" w:sz="0" w:space="0" w:color="auto"/>
                <w:right w:val="none" w:sz="0" w:space="0" w:color="auto"/>
              </w:divBdr>
            </w:div>
            <w:div w:id="763693812">
              <w:marLeft w:val="0"/>
              <w:marRight w:val="0"/>
              <w:marTop w:val="0"/>
              <w:marBottom w:val="0"/>
              <w:divBdr>
                <w:top w:val="none" w:sz="0" w:space="0" w:color="auto"/>
                <w:left w:val="none" w:sz="0" w:space="0" w:color="auto"/>
                <w:bottom w:val="none" w:sz="0" w:space="0" w:color="auto"/>
                <w:right w:val="none" w:sz="0" w:space="0" w:color="auto"/>
              </w:divBdr>
              <w:divsChild>
                <w:div w:id="1295019701">
                  <w:marLeft w:val="0"/>
                  <w:marRight w:val="0"/>
                  <w:marTop w:val="0"/>
                  <w:marBottom w:val="0"/>
                  <w:divBdr>
                    <w:top w:val="none" w:sz="0" w:space="0" w:color="auto"/>
                    <w:left w:val="none" w:sz="0" w:space="0" w:color="auto"/>
                    <w:bottom w:val="none" w:sz="0" w:space="0" w:color="auto"/>
                    <w:right w:val="none" w:sz="0" w:space="0" w:color="auto"/>
                  </w:divBdr>
                  <w:divsChild>
                    <w:div w:id="260535056">
                      <w:marLeft w:val="0"/>
                      <w:marRight w:val="0"/>
                      <w:marTop w:val="0"/>
                      <w:marBottom w:val="0"/>
                      <w:divBdr>
                        <w:top w:val="none" w:sz="0" w:space="0" w:color="auto"/>
                        <w:left w:val="none" w:sz="0" w:space="0" w:color="auto"/>
                        <w:bottom w:val="none" w:sz="0" w:space="0" w:color="auto"/>
                        <w:right w:val="none" w:sz="0" w:space="0" w:color="auto"/>
                      </w:divBdr>
                      <w:divsChild>
                        <w:div w:id="1429471392">
                          <w:marLeft w:val="0"/>
                          <w:marRight w:val="0"/>
                          <w:marTop w:val="0"/>
                          <w:marBottom w:val="0"/>
                          <w:divBdr>
                            <w:top w:val="none" w:sz="0" w:space="0" w:color="auto"/>
                            <w:left w:val="none" w:sz="0" w:space="0" w:color="auto"/>
                            <w:bottom w:val="none" w:sz="0" w:space="0" w:color="auto"/>
                            <w:right w:val="none" w:sz="0" w:space="0" w:color="auto"/>
                          </w:divBdr>
                          <w:divsChild>
                            <w:div w:id="1882159952">
                              <w:marLeft w:val="0"/>
                              <w:marRight w:val="0"/>
                              <w:marTop w:val="0"/>
                              <w:marBottom w:val="0"/>
                              <w:divBdr>
                                <w:top w:val="none" w:sz="0" w:space="0" w:color="auto"/>
                                <w:left w:val="none" w:sz="0" w:space="0" w:color="auto"/>
                                <w:bottom w:val="none" w:sz="0" w:space="0" w:color="auto"/>
                                <w:right w:val="none" w:sz="0" w:space="0" w:color="auto"/>
                              </w:divBdr>
                              <w:divsChild>
                                <w:div w:id="6414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005707">
              <w:marLeft w:val="0"/>
              <w:marRight w:val="0"/>
              <w:marTop w:val="0"/>
              <w:marBottom w:val="0"/>
              <w:divBdr>
                <w:top w:val="none" w:sz="0" w:space="0" w:color="auto"/>
                <w:left w:val="none" w:sz="0" w:space="0" w:color="auto"/>
                <w:bottom w:val="none" w:sz="0" w:space="0" w:color="auto"/>
                <w:right w:val="none" w:sz="0" w:space="0" w:color="auto"/>
              </w:divBdr>
            </w:div>
            <w:div w:id="899637767">
              <w:marLeft w:val="0"/>
              <w:marRight w:val="0"/>
              <w:marTop w:val="0"/>
              <w:marBottom w:val="0"/>
              <w:divBdr>
                <w:top w:val="none" w:sz="0" w:space="0" w:color="auto"/>
                <w:left w:val="none" w:sz="0" w:space="0" w:color="auto"/>
                <w:bottom w:val="none" w:sz="0" w:space="0" w:color="auto"/>
                <w:right w:val="none" w:sz="0" w:space="0" w:color="auto"/>
              </w:divBdr>
              <w:divsChild>
                <w:div w:id="156500850">
                  <w:marLeft w:val="0"/>
                  <w:marRight w:val="0"/>
                  <w:marTop w:val="0"/>
                  <w:marBottom w:val="0"/>
                  <w:divBdr>
                    <w:top w:val="none" w:sz="0" w:space="0" w:color="auto"/>
                    <w:left w:val="none" w:sz="0" w:space="0" w:color="auto"/>
                    <w:bottom w:val="none" w:sz="0" w:space="0" w:color="auto"/>
                    <w:right w:val="none" w:sz="0" w:space="0" w:color="auto"/>
                  </w:divBdr>
                  <w:divsChild>
                    <w:div w:id="260841624">
                      <w:marLeft w:val="0"/>
                      <w:marRight w:val="0"/>
                      <w:marTop w:val="0"/>
                      <w:marBottom w:val="0"/>
                      <w:divBdr>
                        <w:top w:val="none" w:sz="0" w:space="0" w:color="auto"/>
                        <w:left w:val="none" w:sz="0" w:space="0" w:color="auto"/>
                        <w:bottom w:val="none" w:sz="0" w:space="0" w:color="auto"/>
                        <w:right w:val="none" w:sz="0" w:space="0" w:color="auto"/>
                      </w:divBdr>
                      <w:divsChild>
                        <w:div w:id="3320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389284">
      <w:bodyDiv w:val="1"/>
      <w:marLeft w:val="0"/>
      <w:marRight w:val="0"/>
      <w:marTop w:val="0"/>
      <w:marBottom w:val="0"/>
      <w:divBdr>
        <w:top w:val="none" w:sz="0" w:space="0" w:color="auto"/>
        <w:left w:val="none" w:sz="0" w:space="0" w:color="auto"/>
        <w:bottom w:val="none" w:sz="0" w:space="0" w:color="auto"/>
        <w:right w:val="none" w:sz="0" w:space="0" w:color="auto"/>
      </w:divBdr>
      <w:divsChild>
        <w:div w:id="1101878814">
          <w:marLeft w:val="475"/>
          <w:marRight w:val="0"/>
          <w:marTop w:val="115"/>
          <w:marBottom w:val="120"/>
          <w:divBdr>
            <w:top w:val="none" w:sz="0" w:space="0" w:color="auto"/>
            <w:left w:val="none" w:sz="0" w:space="0" w:color="auto"/>
            <w:bottom w:val="none" w:sz="0" w:space="0" w:color="auto"/>
            <w:right w:val="none" w:sz="0" w:space="0" w:color="auto"/>
          </w:divBdr>
        </w:div>
        <w:div w:id="2021811241">
          <w:marLeft w:val="475"/>
          <w:marRight w:val="0"/>
          <w:marTop w:val="115"/>
          <w:marBottom w:val="120"/>
          <w:divBdr>
            <w:top w:val="none" w:sz="0" w:space="0" w:color="auto"/>
            <w:left w:val="none" w:sz="0" w:space="0" w:color="auto"/>
            <w:bottom w:val="none" w:sz="0" w:space="0" w:color="auto"/>
            <w:right w:val="none" w:sz="0" w:space="0" w:color="auto"/>
          </w:divBdr>
        </w:div>
        <w:div w:id="1816332844">
          <w:marLeft w:val="475"/>
          <w:marRight w:val="0"/>
          <w:marTop w:val="115"/>
          <w:marBottom w:val="120"/>
          <w:divBdr>
            <w:top w:val="none" w:sz="0" w:space="0" w:color="auto"/>
            <w:left w:val="none" w:sz="0" w:space="0" w:color="auto"/>
            <w:bottom w:val="none" w:sz="0" w:space="0" w:color="auto"/>
            <w:right w:val="none" w:sz="0" w:space="0" w:color="auto"/>
          </w:divBdr>
        </w:div>
        <w:div w:id="64882481">
          <w:marLeft w:val="475"/>
          <w:marRight w:val="0"/>
          <w:marTop w:val="115"/>
          <w:marBottom w:val="120"/>
          <w:divBdr>
            <w:top w:val="none" w:sz="0" w:space="0" w:color="auto"/>
            <w:left w:val="none" w:sz="0" w:space="0" w:color="auto"/>
            <w:bottom w:val="none" w:sz="0" w:space="0" w:color="auto"/>
            <w:right w:val="none" w:sz="0" w:space="0" w:color="auto"/>
          </w:divBdr>
        </w:div>
      </w:divsChild>
    </w:div>
    <w:div w:id="1506748355">
      <w:bodyDiv w:val="1"/>
      <w:marLeft w:val="0"/>
      <w:marRight w:val="0"/>
      <w:marTop w:val="0"/>
      <w:marBottom w:val="0"/>
      <w:divBdr>
        <w:top w:val="none" w:sz="0" w:space="0" w:color="auto"/>
        <w:left w:val="none" w:sz="0" w:space="0" w:color="auto"/>
        <w:bottom w:val="none" w:sz="0" w:space="0" w:color="auto"/>
        <w:right w:val="none" w:sz="0" w:space="0" w:color="auto"/>
      </w:divBdr>
      <w:divsChild>
        <w:div w:id="470638431">
          <w:marLeft w:val="0"/>
          <w:marRight w:val="0"/>
          <w:marTop w:val="75"/>
          <w:marBottom w:val="75"/>
          <w:divBdr>
            <w:top w:val="none" w:sz="0" w:space="0" w:color="auto"/>
            <w:left w:val="none" w:sz="0" w:space="0" w:color="auto"/>
            <w:bottom w:val="none" w:sz="0" w:space="0" w:color="auto"/>
            <w:right w:val="none" w:sz="0" w:space="0" w:color="auto"/>
          </w:divBdr>
        </w:div>
      </w:divsChild>
    </w:div>
    <w:div w:id="1594047227">
      <w:bodyDiv w:val="1"/>
      <w:marLeft w:val="0"/>
      <w:marRight w:val="0"/>
      <w:marTop w:val="0"/>
      <w:marBottom w:val="0"/>
      <w:divBdr>
        <w:top w:val="none" w:sz="0" w:space="0" w:color="auto"/>
        <w:left w:val="none" w:sz="0" w:space="0" w:color="auto"/>
        <w:bottom w:val="none" w:sz="0" w:space="0" w:color="auto"/>
        <w:right w:val="none" w:sz="0" w:space="0" w:color="auto"/>
      </w:divBdr>
      <w:divsChild>
        <w:div w:id="684865446">
          <w:marLeft w:val="475"/>
          <w:marRight w:val="0"/>
          <w:marTop w:val="115"/>
          <w:marBottom w:val="120"/>
          <w:divBdr>
            <w:top w:val="none" w:sz="0" w:space="0" w:color="auto"/>
            <w:left w:val="none" w:sz="0" w:space="0" w:color="auto"/>
            <w:bottom w:val="none" w:sz="0" w:space="0" w:color="auto"/>
            <w:right w:val="none" w:sz="0" w:space="0" w:color="auto"/>
          </w:divBdr>
        </w:div>
        <w:div w:id="2059014175">
          <w:marLeft w:val="475"/>
          <w:marRight w:val="0"/>
          <w:marTop w:val="115"/>
          <w:marBottom w:val="120"/>
          <w:divBdr>
            <w:top w:val="none" w:sz="0" w:space="0" w:color="auto"/>
            <w:left w:val="none" w:sz="0" w:space="0" w:color="auto"/>
            <w:bottom w:val="none" w:sz="0" w:space="0" w:color="auto"/>
            <w:right w:val="none" w:sz="0" w:space="0" w:color="auto"/>
          </w:divBdr>
        </w:div>
        <w:div w:id="869219465">
          <w:marLeft w:val="475"/>
          <w:marRight w:val="0"/>
          <w:marTop w:val="115"/>
          <w:marBottom w:val="120"/>
          <w:divBdr>
            <w:top w:val="none" w:sz="0" w:space="0" w:color="auto"/>
            <w:left w:val="none" w:sz="0" w:space="0" w:color="auto"/>
            <w:bottom w:val="none" w:sz="0" w:space="0" w:color="auto"/>
            <w:right w:val="none" w:sz="0" w:space="0" w:color="auto"/>
          </w:divBdr>
        </w:div>
        <w:div w:id="119299317">
          <w:marLeft w:val="475"/>
          <w:marRight w:val="0"/>
          <w:marTop w:val="115"/>
          <w:marBottom w:val="120"/>
          <w:divBdr>
            <w:top w:val="none" w:sz="0" w:space="0" w:color="auto"/>
            <w:left w:val="none" w:sz="0" w:space="0" w:color="auto"/>
            <w:bottom w:val="none" w:sz="0" w:space="0" w:color="auto"/>
            <w:right w:val="none" w:sz="0" w:space="0" w:color="auto"/>
          </w:divBdr>
        </w:div>
        <w:div w:id="1077704313">
          <w:marLeft w:val="475"/>
          <w:marRight w:val="0"/>
          <w:marTop w:val="115"/>
          <w:marBottom w:val="120"/>
          <w:divBdr>
            <w:top w:val="none" w:sz="0" w:space="0" w:color="auto"/>
            <w:left w:val="none" w:sz="0" w:space="0" w:color="auto"/>
            <w:bottom w:val="none" w:sz="0" w:space="0" w:color="auto"/>
            <w:right w:val="none" w:sz="0" w:space="0" w:color="auto"/>
          </w:divBdr>
        </w:div>
        <w:div w:id="504521390">
          <w:marLeft w:val="475"/>
          <w:marRight w:val="0"/>
          <w:marTop w:val="115"/>
          <w:marBottom w:val="120"/>
          <w:divBdr>
            <w:top w:val="none" w:sz="0" w:space="0" w:color="auto"/>
            <w:left w:val="none" w:sz="0" w:space="0" w:color="auto"/>
            <w:bottom w:val="none" w:sz="0" w:space="0" w:color="auto"/>
            <w:right w:val="none" w:sz="0" w:space="0" w:color="auto"/>
          </w:divBdr>
        </w:div>
      </w:divsChild>
    </w:div>
    <w:div w:id="1611429045">
      <w:bodyDiv w:val="1"/>
      <w:marLeft w:val="0"/>
      <w:marRight w:val="0"/>
      <w:marTop w:val="0"/>
      <w:marBottom w:val="0"/>
      <w:divBdr>
        <w:top w:val="none" w:sz="0" w:space="0" w:color="auto"/>
        <w:left w:val="none" w:sz="0" w:space="0" w:color="auto"/>
        <w:bottom w:val="none" w:sz="0" w:space="0" w:color="auto"/>
        <w:right w:val="none" w:sz="0" w:space="0" w:color="auto"/>
      </w:divBdr>
    </w:div>
    <w:div w:id="1614895445">
      <w:bodyDiv w:val="1"/>
      <w:marLeft w:val="0"/>
      <w:marRight w:val="0"/>
      <w:marTop w:val="0"/>
      <w:marBottom w:val="0"/>
      <w:divBdr>
        <w:top w:val="none" w:sz="0" w:space="0" w:color="auto"/>
        <w:left w:val="none" w:sz="0" w:space="0" w:color="auto"/>
        <w:bottom w:val="none" w:sz="0" w:space="0" w:color="auto"/>
        <w:right w:val="none" w:sz="0" w:space="0" w:color="auto"/>
      </w:divBdr>
      <w:divsChild>
        <w:div w:id="1654751231">
          <w:marLeft w:val="288"/>
          <w:marRight w:val="0"/>
          <w:marTop w:val="115"/>
          <w:marBottom w:val="120"/>
          <w:divBdr>
            <w:top w:val="none" w:sz="0" w:space="0" w:color="auto"/>
            <w:left w:val="none" w:sz="0" w:space="0" w:color="auto"/>
            <w:bottom w:val="none" w:sz="0" w:space="0" w:color="auto"/>
            <w:right w:val="none" w:sz="0" w:space="0" w:color="auto"/>
          </w:divBdr>
        </w:div>
        <w:div w:id="522982153">
          <w:marLeft w:val="288"/>
          <w:marRight w:val="0"/>
          <w:marTop w:val="115"/>
          <w:marBottom w:val="120"/>
          <w:divBdr>
            <w:top w:val="none" w:sz="0" w:space="0" w:color="auto"/>
            <w:left w:val="none" w:sz="0" w:space="0" w:color="auto"/>
            <w:bottom w:val="none" w:sz="0" w:space="0" w:color="auto"/>
            <w:right w:val="none" w:sz="0" w:space="0" w:color="auto"/>
          </w:divBdr>
        </w:div>
      </w:divsChild>
    </w:div>
    <w:div w:id="1620188676">
      <w:bodyDiv w:val="1"/>
      <w:marLeft w:val="0"/>
      <w:marRight w:val="0"/>
      <w:marTop w:val="0"/>
      <w:marBottom w:val="0"/>
      <w:divBdr>
        <w:top w:val="none" w:sz="0" w:space="0" w:color="auto"/>
        <w:left w:val="none" w:sz="0" w:space="0" w:color="auto"/>
        <w:bottom w:val="none" w:sz="0" w:space="0" w:color="auto"/>
        <w:right w:val="none" w:sz="0" w:space="0" w:color="auto"/>
      </w:divBdr>
      <w:divsChild>
        <w:div w:id="1559701400">
          <w:marLeft w:val="475"/>
          <w:marRight w:val="0"/>
          <w:marTop w:val="115"/>
          <w:marBottom w:val="120"/>
          <w:divBdr>
            <w:top w:val="none" w:sz="0" w:space="0" w:color="auto"/>
            <w:left w:val="none" w:sz="0" w:space="0" w:color="auto"/>
            <w:bottom w:val="none" w:sz="0" w:space="0" w:color="auto"/>
            <w:right w:val="none" w:sz="0" w:space="0" w:color="auto"/>
          </w:divBdr>
        </w:div>
        <w:div w:id="2086804651">
          <w:marLeft w:val="475"/>
          <w:marRight w:val="0"/>
          <w:marTop w:val="115"/>
          <w:marBottom w:val="120"/>
          <w:divBdr>
            <w:top w:val="none" w:sz="0" w:space="0" w:color="auto"/>
            <w:left w:val="none" w:sz="0" w:space="0" w:color="auto"/>
            <w:bottom w:val="none" w:sz="0" w:space="0" w:color="auto"/>
            <w:right w:val="none" w:sz="0" w:space="0" w:color="auto"/>
          </w:divBdr>
        </w:div>
        <w:div w:id="2016221639">
          <w:marLeft w:val="475"/>
          <w:marRight w:val="0"/>
          <w:marTop w:val="115"/>
          <w:marBottom w:val="120"/>
          <w:divBdr>
            <w:top w:val="none" w:sz="0" w:space="0" w:color="auto"/>
            <w:left w:val="none" w:sz="0" w:space="0" w:color="auto"/>
            <w:bottom w:val="none" w:sz="0" w:space="0" w:color="auto"/>
            <w:right w:val="none" w:sz="0" w:space="0" w:color="auto"/>
          </w:divBdr>
        </w:div>
        <w:div w:id="1894534388">
          <w:marLeft w:val="475"/>
          <w:marRight w:val="0"/>
          <w:marTop w:val="115"/>
          <w:marBottom w:val="120"/>
          <w:divBdr>
            <w:top w:val="none" w:sz="0" w:space="0" w:color="auto"/>
            <w:left w:val="none" w:sz="0" w:space="0" w:color="auto"/>
            <w:bottom w:val="none" w:sz="0" w:space="0" w:color="auto"/>
            <w:right w:val="none" w:sz="0" w:space="0" w:color="auto"/>
          </w:divBdr>
        </w:div>
        <w:div w:id="1802528861">
          <w:marLeft w:val="475"/>
          <w:marRight w:val="0"/>
          <w:marTop w:val="115"/>
          <w:marBottom w:val="120"/>
          <w:divBdr>
            <w:top w:val="none" w:sz="0" w:space="0" w:color="auto"/>
            <w:left w:val="none" w:sz="0" w:space="0" w:color="auto"/>
            <w:bottom w:val="none" w:sz="0" w:space="0" w:color="auto"/>
            <w:right w:val="none" w:sz="0" w:space="0" w:color="auto"/>
          </w:divBdr>
        </w:div>
        <w:div w:id="804927781">
          <w:marLeft w:val="475"/>
          <w:marRight w:val="0"/>
          <w:marTop w:val="115"/>
          <w:marBottom w:val="120"/>
          <w:divBdr>
            <w:top w:val="none" w:sz="0" w:space="0" w:color="auto"/>
            <w:left w:val="none" w:sz="0" w:space="0" w:color="auto"/>
            <w:bottom w:val="none" w:sz="0" w:space="0" w:color="auto"/>
            <w:right w:val="none" w:sz="0" w:space="0" w:color="auto"/>
          </w:divBdr>
        </w:div>
      </w:divsChild>
    </w:div>
    <w:div w:id="1623921360">
      <w:bodyDiv w:val="1"/>
      <w:marLeft w:val="0"/>
      <w:marRight w:val="0"/>
      <w:marTop w:val="0"/>
      <w:marBottom w:val="0"/>
      <w:divBdr>
        <w:top w:val="none" w:sz="0" w:space="0" w:color="auto"/>
        <w:left w:val="none" w:sz="0" w:space="0" w:color="auto"/>
        <w:bottom w:val="none" w:sz="0" w:space="0" w:color="auto"/>
        <w:right w:val="none" w:sz="0" w:space="0" w:color="auto"/>
      </w:divBdr>
      <w:divsChild>
        <w:div w:id="1212157831">
          <w:marLeft w:val="475"/>
          <w:marRight w:val="0"/>
          <w:marTop w:val="115"/>
          <w:marBottom w:val="120"/>
          <w:divBdr>
            <w:top w:val="none" w:sz="0" w:space="0" w:color="auto"/>
            <w:left w:val="none" w:sz="0" w:space="0" w:color="auto"/>
            <w:bottom w:val="none" w:sz="0" w:space="0" w:color="auto"/>
            <w:right w:val="none" w:sz="0" w:space="0" w:color="auto"/>
          </w:divBdr>
        </w:div>
        <w:div w:id="596249867">
          <w:marLeft w:val="475"/>
          <w:marRight w:val="0"/>
          <w:marTop w:val="115"/>
          <w:marBottom w:val="120"/>
          <w:divBdr>
            <w:top w:val="none" w:sz="0" w:space="0" w:color="auto"/>
            <w:left w:val="none" w:sz="0" w:space="0" w:color="auto"/>
            <w:bottom w:val="none" w:sz="0" w:space="0" w:color="auto"/>
            <w:right w:val="none" w:sz="0" w:space="0" w:color="auto"/>
          </w:divBdr>
        </w:div>
      </w:divsChild>
    </w:div>
    <w:div w:id="1644117097">
      <w:bodyDiv w:val="1"/>
      <w:marLeft w:val="0"/>
      <w:marRight w:val="0"/>
      <w:marTop w:val="0"/>
      <w:marBottom w:val="0"/>
      <w:divBdr>
        <w:top w:val="none" w:sz="0" w:space="0" w:color="auto"/>
        <w:left w:val="none" w:sz="0" w:space="0" w:color="auto"/>
        <w:bottom w:val="none" w:sz="0" w:space="0" w:color="auto"/>
        <w:right w:val="none" w:sz="0" w:space="0" w:color="auto"/>
      </w:divBdr>
      <w:divsChild>
        <w:div w:id="1792478451">
          <w:marLeft w:val="475"/>
          <w:marRight w:val="0"/>
          <w:marTop w:val="115"/>
          <w:marBottom w:val="120"/>
          <w:divBdr>
            <w:top w:val="none" w:sz="0" w:space="0" w:color="auto"/>
            <w:left w:val="none" w:sz="0" w:space="0" w:color="auto"/>
            <w:bottom w:val="none" w:sz="0" w:space="0" w:color="auto"/>
            <w:right w:val="none" w:sz="0" w:space="0" w:color="auto"/>
          </w:divBdr>
        </w:div>
      </w:divsChild>
    </w:div>
    <w:div w:id="1645701244">
      <w:bodyDiv w:val="1"/>
      <w:marLeft w:val="0"/>
      <w:marRight w:val="0"/>
      <w:marTop w:val="0"/>
      <w:marBottom w:val="0"/>
      <w:divBdr>
        <w:top w:val="none" w:sz="0" w:space="0" w:color="auto"/>
        <w:left w:val="none" w:sz="0" w:space="0" w:color="auto"/>
        <w:bottom w:val="none" w:sz="0" w:space="0" w:color="auto"/>
        <w:right w:val="none" w:sz="0" w:space="0" w:color="auto"/>
      </w:divBdr>
      <w:divsChild>
        <w:div w:id="1818376969">
          <w:marLeft w:val="0"/>
          <w:marRight w:val="0"/>
          <w:marTop w:val="0"/>
          <w:marBottom w:val="0"/>
          <w:divBdr>
            <w:top w:val="none" w:sz="0" w:space="0" w:color="auto"/>
            <w:left w:val="none" w:sz="0" w:space="0" w:color="auto"/>
            <w:bottom w:val="none" w:sz="0" w:space="0" w:color="auto"/>
            <w:right w:val="none" w:sz="0" w:space="0" w:color="auto"/>
          </w:divBdr>
        </w:div>
      </w:divsChild>
    </w:div>
    <w:div w:id="1646005026">
      <w:bodyDiv w:val="1"/>
      <w:marLeft w:val="0"/>
      <w:marRight w:val="0"/>
      <w:marTop w:val="0"/>
      <w:marBottom w:val="0"/>
      <w:divBdr>
        <w:top w:val="none" w:sz="0" w:space="0" w:color="auto"/>
        <w:left w:val="none" w:sz="0" w:space="0" w:color="auto"/>
        <w:bottom w:val="none" w:sz="0" w:space="0" w:color="auto"/>
        <w:right w:val="none" w:sz="0" w:space="0" w:color="auto"/>
      </w:divBdr>
      <w:divsChild>
        <w:div w:id="360278910">
          <w:marLeft w:val="475"/>
          <w:marRight w:val="0"/>
          <w:marTop w:val="115"/>
          <w:marBottom w:val="120"/>
          <w:divBdr>
            <w:top w:val="none" w:sz="0" w:space="0" w:color="auto"/>
            <w:left w:val="none" w:sz="0" w:space="0" w:color="auto"/>
            <w:bottom w:val="none" w:sz="0" w:space="0" w:color="auto"/>
            <w:right w:val="none" w:sz="0" w:space="0" w:color="auto"/>
          </w:divBdr>
        </w:div>
        <w:div w:id="1392919576">
          <w:marLeft w:val="475"/>
          <w:marRight w:val="0"/>
          <w:marTop w:val="115"/>
          <w:marBottom w:val="120"/>
          <w:divBdr>
            <w:top w:val="none" w:sz="0" w:space="0" w:color="auto"/>
            <w:left w:val="none" w:sz="0" w:space="0" w:color="auto"/>
            <w:bottom w:val="none" w:sz="0" w:space="0" w:color="auto"/>
            <w:right w:val="none" w:sz="0" w:space="0" w:color="auto"/>
          </w:divBdr>
        </w:div>
        <w:div w:id="1528328544">
          <w:marLeft w:val="475"/>
          <w:marRight w:val="0"/>
          <w:marTop w:val="115"/>
          <w:marBottom w:val="120"/>
          <w:divBdr>
            <w:top w:val="none" w:sz="0" w:space="0" w:color="auto"/>
            <w:left w:val="none" w:sz="0" w:space="0" w:color="auto"/>
            <w:bottom w:val="none" w:sz="0" w:space="0" w:color="auto"/>
            <w:right w:val="none" w:sz="0" w:space="0" w:color="auto"/>
          </w:divBdr>
        </w:div>
        <w:div w:id="1228229070">
          <w:marLeft w:val="475"/>
          <w:marRight w:val="0"/>
          <w:marTop w:val="115"/>
          <w:marBottom w:val="120"/>
          <w:divBdr>
            <w:top w:val="none" w:sz="0" w:space="0" w:color="auto"/>
            <w:left w:val="none" w:sz="0" w:space="0" w:color="auto"/>
            <w:bottom w:val="none" w:sz="0" w:space="0" w:color="auto"/>
            <w:right w:val="none" w:sz="0" w:space="0" w:color="auto"/>
          </w:divBdr>
        </w:div>
        <w:div w:id="2090420675">
          <w:marLeft w:val="475"/>
          <w:marRight w:val="0"/>
          <w:marTop w:val="115"/>
          <w:marBottom w:val="120"/>
          <w:divBdr>
            <w:top w:val="none" w:sz="0" w:space="0" w:color="auto"/>
            <w:left w:val="none" w:sz="0" w:space="0" w:color="auto"/>
            <w:bottom w:val="none" w:sz="0" w:space="0" w:color="auto"/>
            <w:right w:val="none" w:sz="0" w:space="0" w:color="auto"/>
          </w:divBdr>
        </w:div>
      </w:divsChild>
    </w:div>
    <w:div w:id="1682928447">
      <w:bodyDiv w:val="1"/>
      <w:marLeft w:val="0"/>
      <w:marRight w:val="0"/>
      <w:marTop w:val="0"/>
      <w:marBottom w:val="0"/>
      <w:divBdr>
        <w:top w:val="none" w:sz="0" w:space="0" w:color="auto"/>
        <w:left w:val="none" w:sz="0" w:space="0" w:color="auto"/>
        <w:bottom w:val="none" w:sz="0" w:space="0" w:color="auto"/>
        <w:right w:val="none" w:sz="0" w:space="0" w:color="auto"/>
      </w:divBdr>
    </w:div>
    <w:div w:id="1686857810">
      <w:bodyDiv w:val="1"/>
      <w:marLeft w:val="0"/>
      <w:marRight w:val="0"/>
      <w:marTop w:val="0"/>
      <w:marBottom w:val="0"/>
      <w:divBdr>
        <w:top w:val="none" w:sz="0" w:space="0" w:color="auto"/>
        <w:left w:val="none" w:sz="0" w:space="0" w:color="auto"/>
        <w:bottom w:val="none" w:sz="0" w:space="0" w:color="auto"/>
        <w:right w:val="none" w:sz="0" w:space="0" w:color="auto"/>
      </w:divBdr>
      <w:divsChild>
        <w:div w:id="183791906">
          <w:marLeft w:val="475"/>
          <w:marRight w:val="0"/>
          <w:marTop w:val="115"/>
          <w:marBottom w:val="120"/>
          <w:divBdr>
            <w:top w:val="none" w:sz="0" w:space="0" w:color="auto"/>
            <w:left w:val="none" w:sz="0" w:space="0" w:color="auto"/>
            <w:bottom w:val="none" w:sz="0" w:space="0" w:color="auto"/>
            <w:right w:val="none" w:sz="0" w:space="0" w:color="auto"/>
          </w:divBdr>
        </w:div>
        <w:div w:id="717776804">
          <w:marLeft w:val="475"/>
          <w:marRight w:val="0"/>
          <w:marTop w:val="115"/>
          <w:marBottom w:val="120"/>
          <w:divBdr>
            <w:top w:val="none" w:sz="0" w:space="0" w:color="auto"/>
            <w:left w:val="none" w:sz="0" w:space="0" w:color="auto"/>
            <w:bottom w:val="none" w:sz="0" w:space="0" w:color="auto"/>
            <w:right w:val="none" w:sz="0" w:space="0" w:color="auto"/>
          </w:divBdr>
        </w:div>
        <w:div w:id="1598713020">
          <w:marLeft w:val="475"/>
          <w:marRight w:val="0"/>
          <w:marTop w:val="115"/>
          <w:marBottom w:val="120"/>
          <w:divBdr>
            <w:top w:val="none" w:sz="0" w:space="0" w:color="auto"/>
            <w:left w:val="none" w:sz="0" w:space="0" w:color="auto"/>
            <w:bottom w:val="none" w:sz="0" w:space="0" w:color="auto"/>
            <w:right w:val="none" w:sz="0" w:space="0" w:color="auto"/>
          </w:divBdr>
        </w:div>
        <w:div w:id="1109161470">
          <w:marLeft w:val="475"/>
          <w:marRight w:val="0"/>
          <w:marTop w:val="115"/>
          <w:marBottom w:val="120"/>
          <w:divBdr>
            <w:top w:val="none" w:sz="0" w:space="0" w:color="auto"/>
            <w:left w:val="none" w:sz="0" w:space="0" w:color="auto"/>
            <w:bottom w:val="none" w:sz="0" w:space="0" w:color="auto"/>
            <w:right w:val="none" w:sz="0" w:space="0" w:color="auto"/>
          </w:divBdr>
        </w:div>
        <w:div w:id="1352873538">
          <w:marLeft w:val="475"/>
          <w:marRight w:val="0"/>
          <w:marTop w:val="86"/>
          <w:marBottom w:val="120"/>
          <w:divBdr>
            <w:top w:val="none" w:sz="0" w:space="0" w:color="auto"/>
            <w:left w:val="none" w:sz="0" w:space="0" w:color="auto"/>
            <w:bottom w:val="none" w:sz="0" w:space="0" w:color="auto"/>
            <w:right w:val="none" w:sz="0" w:space="0" w:color="auto"/>
          </w:divBdr>
        </w:div>
        <w:div w:id="512689516">
          <w:marLeft w:val="475"/>
          <w:marRight w:val="0"/>
          <w:marTop w:val="86"/>
          <w:marBottom w:val="120"/>
          <w:divBdr>
            <w:top w:val="none" w:sz="0" w:space="0" w:color="auto"/>
            <w:left w:val="none" w:sz="0" w:space="0" w:color="auto"/>
            <w:bottom w:val="none" w:sz="0" w:space="0" w:color="auto"/>
            <w:right w:val="none" w:sz="0" w:space="0" w:color="auto"/>
          </w:divBdr>
        </w:div>
        <w:div w:id="1368021626">
          <w:marLeft w:val="475"/>
          <w:marRight w:val="0"/>
          <w:marTop w:val="86"/>
          <w:marBottom w:val="120"/>
          <w:divBdr>
            <w:top w:val="none" w:sz="0" w:space="0" w:color="auto"/>
            <w:left w:val="none" w:sz="0" w:space="0" w:color="auto"/>
            <w:bottom w:val="none" w:sz="0" w:space="0" w:color="auto"/>
            <w:right w:val="none" w:sz="0" w:space="0" w:color="auto"/>
          </w:divBdr>
        </w:div>
        <w:div w:id="1600680157">
          <w:marLeft w:val="475"/>
          <w:marRight w:val="0"/>
          <w:marTop w:val="86"/>
          <w:marBottom w:val="120"/>
          <w:divBdr>
            <w:top w:val="none" w:sz="0" w:space="0" w:color="auto"/>
            <w:left w:val="none" w:sz="0" w:space="0" w:color="auto"/>
            <w:bottom w:val="none" w:sz="0" w:space="0" w:color="auto"/>
            <w:right w:val="none" w:sz="0" w:space="0" w:color="auto"/>
          </w:divBdr>
        </w:div>
        <w:div w:id="1176769870">
          <w:marLeft w:val="475"/>
          <w:marRight w:val="0"/>
          <w:marTop w:val="86"/>
          <w:marBottom w:val="120"/>
          <w:divBdr>
            <w:top w:val="none" w:sz="0" w:space="0" w:color="auto"/>
            <w:left w:val="none" w:sz="0" w:space="0" w:color="auto"/>
            <w:bottom w:val="none" w:sz="0" w:space="0" w:color="auto"/>
            <w:right w:val="none" w:sz="0" w:space="0" w:color="auto"/>
          </w:divBdr>
        </w:div>
      </w:divsChild>
    </w:div>
    <w:div w:id="1693073715">
      <w:bodyDiv w:val="1"/>
      <w:marLeft w:val="0"/>
      <w:marRight w:val="0"/>
      <w:marTop w:val="0"/>
      <w:marBottom w:val="0"/>
      <w:divBdr>
        <w:top w:val="none" w:sz="0" w:space="0" w:color="auto"/>
        <w:left w:val="none" w:sz="0" w:space="0" w:color="auto"/>
        <w:bottom w:val="none" w:sz="0" w:space="0" w:color="auto"/>
        <w:right w:val="none" w:sz="0" w:space="0" w:color="auto"/>
      </w:divBdr>
    </w:div>
    <w:div w:id="1705785279">
      <w:bodyDiv w:val="1"/>
      <w:marLeft w:val="0"/>
      <w:marRight w:val="0"/>
      <w:marTop w:val="0"/>
      <w:marBottom w:val="0"/>
      <w:divBdr>
        <w:top w:val="none" w:sz="0" w:space="0" w:color="auto"/>
        <w:left w:val="none" w:sz="0" w:space="0" w:color="auto"/>
        <w:bottom w:val="none" w:sz="0" w:space="0" w:color="auto"/>
        <w:right w:val="none" w:sz="0" w:space="0" w:color="auto"/>
      </w:divBdr>
    </w:div>
    <w:div w:id="1708916774">
      <w:bodyDiv w:val="1"/>
      <w:marLeft w:val="0"/>
      <w:marRight w:val="0"/>
      <w:marTop w:val="0"/>
      <w:marBottom w:val="0"/>
      <w:divBdr>
        <w:top w:val="none" w:sz="0" w:space="0" w:color="auto"/>
        <w:left w:val="none" w:sz="0" w:space="0" w:color="auto"/>
        <w:bottom w:val="none" w:sz="0" w:space="0" w:color="auto"/>
        <w:right w:val="none" w:sz="0" w:space="0" w:color="auto"/>
      </w:divBdr>
      <w:divsChild>
        <w:div w:id="409809139">
          <w:marLeft w:val="0"/>
          <w:marRight w:val="0"/>
          <w:marTop w:val="0"/>
          <w:marBottom w:val="0"/>
          <w:divBdr>
            <w:top w:val="none" w:sz="0" w:space="0" w:color="auto"/>
            <w:left w:val="none" w:sz="0" w:space="0" w:color="auto"/>
            <w:bottom w:val="none" w:sz="0" w:space="0" w:color="auto"/>
            <w:right w:val="none" w:sz="0" w:space="0" w:color="auto"/>
          </w:divBdr>
          <w:divsChild>
            <w:div w:id="414742415">
              <w:marLeft w:val="0"/>
              <w:marRight w:val="0"/>
              <w:marTop w:val="0"/>
              <w:marBottom w:val="0"/>
              <w:divBdr>
                <w:top w:val="none" w:sz="0" w:space="0" w:color="auto"/>
                <w:left w:val="none" w:sz="0" w:space="0" w:color="auto"/>
                <w:bottom w:val="none" w:sz="0" w:space="0" w:color="auto"/>
                <w:right w:val="none" w:sz="0" w:space="0" w:color="auto"/>
              </w:divBdr>
              <w:divsChild>
                <w:div w:id="1890920845">
                  <w:marLeft w:val="0"/>
                  <w:marRight w:val="0"/>
                  <w:marTop w:val="0"/>
                  <w:marBottom w:val="0"/>
                  <w:divBdr>
                    <w:top w:val="none" w:sz="0" w:space="0" w:color="auto"/>
                    <w:left w:val="none" w:sz="0" w:space="0" w:color="auto"/>
                    <w:bottom w:val="none" w:sz="0" w:space="0" w:color="auto"/>
                    <w:right w:val="none" w:sz="0" w:space="0" w:color="auto"/>
                  </w:divBdr>
                  <w:divsChild>
                    <w:div w:id="372004142">
                      <w:marLeft w:val="0"/>
                      <w:marRight w:val="0"/>
                      <w:marTop w:val="0"/>
                      <w:marBottom w:val="0"/>
                      <w:divBdr>
                        <w:top w:val="none" w:sz="0" w:space="0" w:color="auto"/>
                        <w:left w:val="none" w:sz="0" w:space="0" w:color="auto"/>
                        <w:bottom w:val="none" w:sz="0" w:space="0" w:color="auto"/>
                        <w:right w:val="none" w:sz="0" w:space="0" w:color="auto"/>
                      </w:divBdr>
                      <w:divsChild>
                        <w:div w:id="1165241728">
                          <w:marLeft w:val="0"/>
                          <w:marRight w:val="0"/>
                          <w:marTop w:val="0"/>
                          <w:marBottom w:val="0"/>
                          <w:divBdr>
                            <w:top w:val="none" w:sz="0" w:space="0" w:color="auto"/>
                            <w:left w:val="none" w:sz="0" w:space="0" w:color="auto"/>
                            <w:bottom w:val="none" w:sz="0" w:space="0" w:color="auto"/>
                            <w:right w:val="none" w:sz="0" w:space="0" w:color="auto"/>
                          </w:divBdr>
                          <w:divsChild>
                            <w:div w:id="1128355568">
                              <w:marLeft w:val="0"/>
                              <w:marRight w:val="0"/>
                              <w:marTop w:val="0"/>
                              <w:marBottom w:val="0"/>
                              <w:divBdr>
                                <w:top w:val="none" w:sz="0" w:space="0" w:color="auto"/>
                                <w:left w:val="none" w:sz="0" w:space="0" w:color="auto"/>
                                <w:bottom w:val="none" w:sz="0" w:space="0" w:color="auto"/>
                                <w:right w:val="none" w:sz="0" w:space="0" w:color="auto"/>
                              </w:divBdr>
                              <w:divsChild>
                                <w:div w:id="880093692">
                                  <w:marLeft w:val="0"/>
                                  <w:marRight w:val="0"/>
                                  <w:marTop w:val="0"/>
                                  <w:marBottom w:val="0"/>
                                  <w:divBdr>
                                    <w:top w:val="none" w:sz="0" w:space="0" w:color="auto"/>
                                    <w:left w:val="none" w:sz="0" w:space="0" w:color="auto"/>
                                    <w:bottom w:val="none" w:sz="0" w:space="0" w:color="auto"/>
                                    <w:right w:val="none" w:sz="0" w:space="0" w:color="auto"/>
                                  </w:divBdr>
                                </w:div>
                                <w:div w:id="820971565">
                                  <w:marLeft w:val="0"/>
                                  <w:marRight w:val="0"/>
                                  <w:marTop w:val="0"/>
                                  <w:marBottom w:val="0"/>
                                  <w:divBdr>
                                    <w:top w:val="none" w:sz="0" w:space="0" w:color="auto"/>
                                    <w:left w:val="none" w:sz="0" w:space="0" w:color="auto"/>
                                    <w:bottom w:val="none" w:sz="0" w:space="0" w:color="auto"/>
                                    <w:right w:val="none" w:sz="0" w:space="0" w:color="auto"/>
                                  </w:divBdr>
                                </w:div>
                                <w:div w:id="5664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104793">
              <w:marLeft w:val="0"/>
              <w:marRight w:val="0"/>
              <w:marTop w:val="0"/>
              <w:marBottom w:val="0"/>
              <w:divBdr>
                <w:top w:val="none" w:sz="0" w:space="0" w:color="auto"/>
                <w:left w:val="none" w:sz="0" w:space="0" w:color="auto"/>
                <w:bottom w:val="none" w:sz="0" w:space="0" w:color="auto"/>
                <w:right w:val="none" w:sz="0" w:space="0" w:color="auto"/>
              </w:divBdr>
            </w:div>
            <w:div w:id="297959117">
              <w:marLeft w:val="0"/>
              <w:marRight w:val="0"/>
              <w:marTop w:val="0"/>
              <w:marBottom w:val="0"/>
              <w:divBdr>
                <w:top w:val="none" w:sz="0" w:space="0" w:color="auto"/>
                <w:left w:val="none" w:sz="0" w:space="0" w:color="auto"/>
                <w:bottom w:val="none" w:sz="0" w:space="0" w:color="auto"/>
                <w:right w:val="none" w:sz="0" w:space="0" w:color="auto"/>
              </w:divBdr>
              <w:divsChild>
                <w:div w:id="228157711">
                  <w:marLeft w:val="0"/>
                  <w:marRight w:val="0"/>
                  <w:marTop w:val="0"/>
                  <w:marBottom w:val="0"/>
                  <w:divBdr>
                    <w:top w:val="none" w:sz="0" w:space="0" w:color="auto"/>
                    <w:left w:val="none" w:sz="0" w:space="0" w:color="auto"/>
                    <w:bottom w:val="none" w:sz="0" w:space="0" w:color="auto"/>
                    <w:right w:val="none" w:sz="0" w:space="0" w:color="auto"/>
                  </w:divBdr>
                  <w:divsChild>
                    <w:div w:id="740176886">
                      <w:marLeft w:val="0"/>
                      <w:marRight w:val="0"/>
                      <w:marTop w:val="0"/>
                      <w:marBottom w:val="0"/>
                      <w:divBdr>
                        <w:top w:val="none" w:sz="0" w:space="0" w:color="auto"/>
                        <w:left w:val="none" w:sz="0" w:space="0" w:color="auto"/>
                        <w:bottom w:val="none" w:sz="0" w:space="0" w:color="auto"/>
                        <w:right w:val="none" w:sz="0" w:space="0" w:color="auto"/>
                      </w:divBdr>
                      <w:divsChild>
                        <w:div w:id="1918513657">
                          <w:marLeft w:val="0"/>
                          <w:marRight w:val="0"/>
                          <w:marTop w:val="0"/>
                          <w:marBottom w:val="0"/>
                          <w:divBdr>
                            <w:top w:val="none" w:sz="0" w:space="0" w:color="auto"/>
                            <w:left w:val="none" w:sz="0" w:space="0" w:color="auto"/>
                            <w:bottom w:val="none" w:sz="0" w:space="0" w:color="auto"/>
                            <w:right w:val="none" w:sz="0" w:space="0" w:color="auto"/>
                          </w:divBdr>
                          <w:divsChild>
                            <w:div w:id="1206215019">
                              <w:marLeft w:val="0"/>
                              <w:marRight w:val="0"/>
                              <w:marTop w:val="0"/>
                              <w:marBottom w:val="0"/>
                              <w:divBdr>
                                <w:top w:val="none" w:sz="0" w:space="0" w:color="auto"/>
                                <w:left w:val="none" w:sz="0" w:space="0" w:color="auto"/>
                                <w:bottom w:val="none" w:sz="0" w:space="0" w:color="auto"/>
                                <w:right w:val="none" w:sz="0" w:space="0" w:color="auto"/>
                              </w:divBdr>
                              <w:divsChild>
                                <w:div w:id="17984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136010">
              <w:marLeft w:val="0"/>
              <w:marRight w:val="0"/>
              <w:marTop w:val="0"/>
              <w:marBottom w:val="0"/>
              <w:divBdr>
                <w:top w:val="none" w:sz="0" w:space="0" w:color="auto"/>
                <w:left w:val="none" w:sz="0" w:space="0" w:color="auto"/>
                <w:bottom w:val="none" w:sz="0" w:space="0" w:color="auto"/>
                <w:right w:val="none" w:sz="0" w:space="0" w:color="auto"/>
              </w:divBdr>
            </w:div>
            <w:div w:id="1150831505">
              <w:marLeft w:val="0"/>
              <w:marRight w:val="0"/>
              <w:marTop w:val="0"/>
              <w:marBottom w:val="0"/>
              <w:divBdr>
                <w:top w:val="none" w:sz="0" w:space="0" w:color="auto"/>
                <w:left w:val="none" w:sz="0" w:space="0" w:color="auto"/>
                <w:bottom w:val="none" w:sz="0" w:space="0" w:color="auto"/>
                <w:right w:val="none" w:sz="0" w:space="0" w:color="auto"/>
              </w:divBdr>
              <w:divsChild>
                <w:div w:id="1618246786">
                  <w:marLeft w:val="0"/>
                  <w:marRight w:val="0"/>
                  <w:marTop w:val="0"/>
                  <w:marBottom w:val="0"/>
                  <w:divBdr>
                    <w:top w:val="none" w:sz="0" w:space="0" w:color="auto"/>
                    <w:left w:val="none" w:sz="0" w:space="0" w:color="auto"/>
                    <w:bottom w:val="none" w:sz="0" w:space="0" w:color="auto"/>
                    <w:right w:val="none" w:sz="0" w:space="0" w:color="auto"/>
                  </w:divBdr>
                  <w:divsChild>
                    <w:div w:id="952829641">
                      <w:marLeft w:val="0"/>
                      <w:marRight w:val="0"/>
                      <w:marTop w:val="0"/>
                      <w:marBottom w:val="0"/>
                      <w:divBdr>
                        <w:top w:val="none" w:sz="0" w:space="0" w:color="auto"/>
                        <w:left w:val="none" w:sz="0" w:space="0" w:color="auto"/>
                        <w:bottom w:val="none" w:sz="0" w:space="0" w:color="auto"/>
                        <w:right w:val="none" w:sz="0" w:space="0" w:color="auto"/>
                      </w:divBdr>
                      <w:divsChild>
                        <w:div w:id="20023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076553">
      <w:bodyDiv w:val="1"/>
      <w:marLeft w:val="0"/>
      <w:marRight w:val="0"/>
      <w:marTop w:val="0"/>
      <w:marBottom w:val="0"/>
      <w:divBdr>
        <w:top w:val="none" w:sz="0" w:space="0" w:color="auto"/>
        <w:left w:val="none" w:sz="0" w:space="0" w:color="auto"/>
        <w:bottom w:val="none" w:sz="0" w:space="0" w:color="auto"/>
        <w:right w:val="none" w:sz="0" w:space="0" w:color="auto"/>
      </w:divBdr>
    </w:div>
    <w:div w:id="1721175177">
      <w:bodyDiv w:val="1"/>
      <w:marLeft w:val="0"/>
      <w:marRight w:val="0"/>
      <w:marTop w:val="0"/>
      <w:marBottom w:val="0"/>
      <w:divBdr>
        <w:top w:val="none" w:sz="0" w:space="0" w:color="auto"/>
        <w:left w:val="none" w:sz="0" w:space="0" w:color="auto"/>
        <w:bottom w:val="none" w:sz="0" w:space="0" w:color="auto"/>
        <w:right w:val="none" w:sz="0" w:space="0" w:color="auto"/>
      </w:divBdr>
    </w:div>
    <w:div w:id="1721854502">
      <w:bodyDiv w:val="1"/>
      <w:marLeft w:val="0"/>
      <w:marRight w:val="0"/>
      <w:marTop w:val="0"/>
      <w:marBottom w:val="0"/>
      <w:divBdr>
        <w:top w:val="none" w:sz="0" w:space="0" w:color="auto"/>
        <w:left w:val="none" w:sz="0" w:space="0" w:color="auto"/>
        <w:bottom w:val="none" w:sz="0" w:space="0" w:color="auto"/>
        <w:right w:val="none" w:sz="0" w:space="0" w:color="auto"/>
      </w:divBdr>
    </w:div>
    <w:div w:id="1767267008">
      <w:bodyDiv w:val="1"/>
      <w:marLeft w:val="0"/>
      <w:marRight w:val="0"/>
      <w:marTop w:val="0"/>
      <w:marBottom w:val="0"/>
      <w:divBdr>
        <w:top w:val="none" w:sz="0" w:space="0" w:color="auto"/>
        <w:left w:val="none" w:sz="0" w:space="0" w:color="auto"/>
        <w:bottom w:val="none" w:sz="0" w:space="0" w:color="auto"/>
        <w:right w:val="none" w:sz="0" w:space="0" w:color="auto"/>
      </w:divBdr>
      <w:divsChild>
        <w:div w:id="1107118818">
          <w:marLeft w:val="475"/>
          <w:marRight w:val="0"/>
          <w:marTop w:val="77"/>
          <w:marBottom w:val="120"/>
          <w:divBdr>
            <w:top w:val="none" w:sz="0" w:space="0" w:color="auto"/>
            <w:left w:val="none" w:sz="0" w:space="0" w:color="auto"/>
            <w:bottom w:val="none" w:sz="0" w:space="0" w:color="auto"/>
            <w:right w:val="none" w:sz="0" w:space="0" w:color="auto"/>
          </w:divBdr>
        </w:div>
        <w:div w:id="329452605">
          <w:marLeft w:val="475"/>
          <w:marRight w:val="0"/>
          <w:marTop w:val="77"/>
          <w:marBottom w:val="120"/>
          <w:divBdr>
            <w:top w:val="none" w:sz="0" w:space="0" w:color="auto"/>
            <w:left w:val="none" w:sz="0" w:space="0" w:color="auto"/>
            <w:bottom w:val="none" w:sz="0" w:space="0" w:color="auto"/>
            <w:right w:val="none" w:sz="0" w:space="0" w:color="auto"/>
          </w:divBdr>
        </w:div>
        <w:div w:id="1765346978">
          <w:marLeft w:val="475"/>
          <w:marRight w:val="0"/>
          <w:marTop w:val="77"/>
          <w:marBottom w:val="120"/>
          <w:divBdr>
            <w:top w:val="none" w:sz="0" w:space="0" w:color="auto"/>
            <w:left w:val="none" w:sz="0" w:space="0" w:color="auto"/>
            <w:bottom w:val="none" w:sz="0" w:space="0" w:color="auto"/>
            <w:right w:val="none" w:sz="0" w:space="0" w:color="auto"/>
          </w:divBdr>
        </w:div>
        <w:div w:id="1766458578">
          <w:marLeft w:val="475"/>
          <w:marRight w:val="0"/>
          <w:marTop w:val="77"/>
          <w:marBottom w:val="120"/>
          <w:divBdr>
            <w:top w:val="none" w:sz="0" w:space="0" w:color="auto"/>
            <w:left w:val="none" w:sz="0" w:space="0" w:color="auto"/>
            <w:bottom w:val="none" w:sz="0" w:space="0" w:color="auto"/>
            <w:right w:val="none" w:sz="0" w:space="0" w:color="auto"/>
          </w:divBdr>
        </w:div>
      </w:divsChild>
    </w:div>
    <w:div w:id="1782721741">
      <w:bodyDiv w:val="1"/>
      <w:marLeft w:val="0"/>
      <w:marRight w:val="0"/>
      <w:marTop w:val="0"/>
      <w:marBottom w:val="0"/>
      <w:divBdr>
        <w:top w:val="none" w:sz="0" w:space="0" w:color="auto"/>
        <w:left w:val="none" w:sz="0" w:space="0" w:color="auto"/>
        <w:bottom w:val="none" w:sz="0" w:space="0" w:color="auto"/>
        <w:right w:val="none" w:sz="0" w:space="0" w:color="auto"/>
      </w:divBdr>
      <w:divsChild>
        <w:div w:id="2104109843">
          <w:marLeft w:val="475"/>
          <w:marRight w:val="0"/>
          <w:marTop w:val="115"/>
          <w:marBottom w:val="120"/>
          <w:divBdr>
            <w:top w:val="none" w:sz="0" w:space="0" w:color="auto"/>
            <w:left w:val="none" w:sz="0" w:space="0" w:color="auto"/>
            <w:bottom w:val="none" w:sz="0" w:space="0" w:color="auto"/>
            <w:right w:val="none" w:sz="0" w:space="0" w:color="auto"/>
          </w:divBdr>
        </w:div>
        <w:div w:id="1832601312">
          <w:marLeft w:val="475"/>
          <w:marRight w:val="0"/>
          <w:marTop w:val="115"/>
          <w:marBottom w:val="120"/>
          <w:divBdr>
            <w:top w:val="none" w:sz="0" w:space="0" w:color="auto"/>
            <w:left w:val="none" w:sz="0" w:space="0" w:color="auto"/>
            <w:bottom w:val="none" w:sz="0" w:space="0" w:color="auto"/>
            <w:right w:val="none" w:sz="0" w:space="0" w:color="auto"/>
          </w:divBdr>
        </w:div>
        <w:div w:id="87116771">
          <w:marLeft w:val="475"/>
          <w:marRight w:val="0"/>
          <w:marTop w:val="115"/>
          <w:marBottom w:val="120"/>
          <w:divBdr>
            <w:top w:val="none" w:sz="0" w:space="0" w:color="auto"/>
            <w:left w:val="none" w:sz="0" w:space="0" w:color="auto"/>
            <w:bottom w:val="none" w:sz="0" w:space="0" w:color="auto"/>
            <w:right w:val="none" w:sz="0" w:space="0" w:color="auto"/>
          </w:divBdr>
        </w:div>
        <w:div w:id="1717117778">
          <w:marLeft w:val="475"/>
          <w:marRight w:val="0"/>
          <w:marTop w:val="115"/>
          <w:marBottom w:val="120"/>
          <w:divBdr>
            <w:top w:val="none" w:sz="0" w:space="0" w:color="auto"/>
            <w:left w:val="none" w:sz="0" w:space="0" w:color="auto"/>
            <w:bottom w:val="none" w:sz="0" w:space="0" w:color="auto"/>
            <w:right w:val="none" w:sz="0" w:space="0" w:color="auto"/>
          </w:divBdr>
        </w:div>
        <w:div w:id="1848326457">
          <w:marLeft w:val="475"/>
          <w:marRight w:val="0"/>
          <w:marTop w:val="115"/>
          <w:marBottom w:val="120"/>
          <w:divBdr>
            <w:top w:val="none" w:sz="0" w:space="0" w:color="auto"/>
            <w:left w:val="none" w:sz="0" w:space="0" w:color="auto"/>
            <w:bottom w:val="none" w:sz="0" w:space="0" w:color="auto"/>
            <w:right w:val="none" w:sz="0" w:space="0" w:color="auto"/>
          </w:divBdr>
        </w:div>
      </w:divsChild>
    </w:div>
    <w:div w:id="1813326001">
      <w:bodyDiv w:val="1"/>
      <w:marLeft w:val="0"/>
      <w:marRight w:val="0"/>
      <w:marTop w:val="0"/>
      <w:marBottom w:val="0"/>
      <w:divBdr>
        <w:top w:val="none" w:sz="0" w:space="0" w:color="auto"/>
        <w:left w:val="none" w:sz="0" w:space="0" w:color="auto"/>
        <w:bottom w:val="none" w:sz="0" w:space="0" w:color="auto"/>
        <w:right w:val="none" w:sz="0" w:space="0" w:color="auto"/>
      </w:divBdr>
    </w:div>
    <w:div w:id="1814133208">
      <w:bodyDiv w:val="1"/>
      <w:marLeft w:val="0"/>
      <w:marRight w:val="0"/>
      <w:marTop w:val="0"/>
      <w:marBottom w:val="0"/>
      <w:divBdr>
        <w:top w:val="none" w:sz="0" w:space="0" w:color="auto"/>
        <w:left w:val="none" w:sz="0" w:space="0" w:color="auto"/>
        <w:bottom w:val="none" w:sz="0" w:space="0" w:color="auto"/>
        <w:right w:val="none" w:sz="0" w:space="0" w:color="auto"/>
      </w:divBdr>
    </w:div>
    <w:div w:id="1827939085">
      <w:bodyDiv w:val="1"/>
      <w:marLeft w:val="0"/>
      <w:marRight w:val="0"/>
      <w:marTop w:val="0"/>
      <w:marBottom w:val="0"/>
      <w:divBdr>
        <w:top w:val="none" w:sz="0" w:space="0" w:color="auto"/>
        <w:left w:val="none" w:sz="0" w:space="0" w:color="auto"/>
        <w:bottom w:val="none" w:sz="0" w:space="0" w:color="auto"/>
        <w:right w:val="none" w:sz="0" w:space="0" w:color="auto"/>
      </w:divBdr>
      <w:divsChild>
        <w:div w:id="1580410425">
          <w:marLeft w:val="0"/>
          <w:marRight w:val="0"/>
          <w:marTop w:val="0"/>
          <w:marBottom w:val="0"/>
          <w:divBdr>
            <w:top w:val="none" w:sz="0" w:space="0" w:color="auto"/>
            <w:left w:val="none" w:sz="0" w:space="0" w:color="auto"/>
            <w:bottom w:val="none" w:sz="0" w:space="0" w:color="auto"/>
            <w:right w:val="none" w:sz="0" w:space="0" w:color="auto"/>
          </w:divBdr>
          <w:divsChild>
            <w:div w:id="1263026959">
              <w:marLeft w:val="0"/>
              <w:marRight w:val="0"/>
              <w:marTop w:val="0"/>
              <w:marBottom w:val="0"/>
              <w:divBdr>
                <w:top w:val="none" w:sz="0" w:space="0" w:color="auto"/>
                <w:left w:val="none" w:sz="0" w:space="0" w:color="auto"/>
                <w:bottom w:val="none" w:sz="0" w:space="0" w:color="auto"/>
                <w:right w:val="none" w:sz="0" w:space="0" w:color="auto"/>
              </w:divBdr>
              <w:divsChild>
                <w:div w:id="625234631">
                  <w:marLeft w:val="0"/>
                  <w:marRight w:val="0"/>
                  <w:marTop w:val="0"/>
                  <w:marBottom w:val="0"/>
                  <w:divBdr>
                    <w:top w:val="none" w:sz="0" w:space="0" w:color="auto"/>
                    <w:left w:val="none" w:sz="0" w:space="0" w:color="auto"/>
                    <w:bottom w:val="none" w:sz="0" w:space="0" w:color="auto"/>
                    <w:right w:val="none" w:sz="0" w:space="0" w:color="auto"/>
                  </w:divBdr>
                  <w:divsChild>
                    <w:div w:id="1452747393">
                      <w:marLeft w:val="0"/>
                      <w:marRight w:val="0"/>
                      <w:marTop w:val="0"/>
                      <w:marBottom w:val="0"/>
                      <w:divBdr>
                        <w:top w:val="none" w:sz="0" w:space="0" w:color="auto"/>
                        <w:left w:val="none" w:sz="0" w:space="0" w:color="auto"/>
                        <w:bottom w:val="none" w:sz="0" w:space="0" w:color="auto"/>
                        <w:right w:val="none" w:sz="0" w:space="0" w:color="auto"/>
                      </w:divBdr>
                      <w:divsChild>
                        <w:div w:id="1483230035">
                          <w:marLeft w:val="0"/>
                          <w:marRight w:val="0"/>
                          <w:marTop w:val="0"/>
                          <w:marBottom w:val="0"/>
                          <w:divBdr>
                            <w:top w:val="none" w:sz="0" w:space="0" w:color="auto"/>
                            <w:left w:val="none" w:sz="0" w:space="0" w:color="auto"/>
                            <w:bottom w:val="none" w:sz="0" w:space="0" w:color="auto"/>
                            <w:right w:val="none" w:sz="0" w:space="0" w:color="auto"/>
                          </w:divBdr>
                          <w:divsChild>
                            <w:div w:id="52776501">
                              <w:marLeft w:val="0"/>
                              <w:marRight w:val="0"/>
                              <w:marTop w:val="0"/>
                              <w:marBottom w:val="0"/>
                              <w:divBdr>
                                <w:top w:val="none" w:sz="0" w:space="0" w:color="auto"/>
                                <w:left w:val="none" w:sz="0" w:space="0" w:color="auto"/>
                                <w:bottom w:val="none" w:sz="0" w:space="0" w:color="auto"/>
                                <w:right w:val="none" w:sz="0" w:space="0" w:color="auto"/>
                              </w:divBdr>
                              <w:divsChild>
                                <w:div w:id="2219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765836">
              <w:marLeft w:val="0"/>
              <w:marRight w:val="0"/>
              <w:marTop w:val="0"/>
              <w:marBottom w:val="0"/>
              <w:divBdr>
                <w:top w:val="none" w:sz="0" w:space="0" w:color="auto"/>
                <w:left w:val="none" w:sz="0" w:space="0" w:color="auto"/>
                <w:bottom w:val="none" w:sz="0" w:space="0" w:color="auto"/>
                <w:right w:val="none" w:sz="0" w:space="0" w:color="auto"/>
              </w:divBdr>
            </w:div>
            <w:div w:id="296686879">
              <w:marLeft w:val="0"/>
              <w:marRight w:val="0"/>
              <w:marTop w:val="0"/>
              <w:marBottom w:val="0"/>
              <w:divBdr>
                <w:top w:val="none" w:sz="0" w:space="0" w:color="auto"/>
                <w:left w:val="none" w:sz="0" w:space="0" w:color="auto"/>
                <w:bottom w:val="none" w:sz="0" w:space="0" w:color="auto"/>
                <w:right w:val="none" w:sz="0" w:space="0" w:color="auto"/>
              </w:divBdr>
              <w:divsChild>
                <w:div w:id="1926650376">
                  <w:marLeft w:val="0"/>
                  <w:marRight w:val="0"/>
                  <w:marTop w:val="0"/>
                  <w:marBottom w:val="0"/>
                  <w:divBdr>
                    <w:top w:val="none" w:sz="0" w:space="0" w:color="auto"/>
                    <w:left w:val="none" w:sz="0" w:space="0" w:color="auto"/>
                    <w:bottom w:val="none" w:sz="0" w:space="0" w:color="auto"/>
                    <w:right w:val="none" w:sz="0" w:space="0" w:color="auto"/>
                  </w:divBdr>
                  <w:divsChild>
                    <w:div w:id="939340119">
                      <w:marLeft w:val="0"/>
                      <w:marRight w:val="0"/>
                      <w:marTop w:val="0"/>
                      <w:marBottom w:val="0"/>
                      <w:divBdr>
                        <w:top w:val="none" w:sz="0" w:space="0" w:color="auto"/>
                        <w:left w:val="none" w:sz="0" w:space="0" w:color="auto"/>
                        <w:bottom w:val="none" w:sz="0" w:space="0" w:color="auto"/>
                        <w:right w:val="none" w:sz="0" w:space="0" w:color="auto"/>
                      </w:divBdr>
                      <w:divsChild>
                        <w:div w:id="1174108557">
                          <w:marLeft w:val="0"/>
                          <w:marRight w:val="0"/>
                          <w:marTop w:val="0"/>
                          <w:marBottom w:val="0"/>
                          <w:divBdr>
                            <w:top w:val="none" w:sz="0" w:space="0" w:color="auto"/>
                            <w:left w:val="none" w:sz="0" w:space="0" w:color="auto"/>
                            <w:bottom w:val="none" w:sz="0" w:space="0" w:color="auto"/>
                            <w:right w:val="none" w:sz="0" w:space="0" w:color="auto"/>
                          </w:divBdr>
                          <w:divsChild>
                            <w:div w:id="57477903">
                              <w:marLeft w:val="0"/>
                              <w:marRight w:val="0"/>
                              <w:marTop w:val="0"/>
                              <w:marBottom w:val="0"/>
                              <w:divBdr>
                                <w:top w:val="none" w:sz="0" w:space="0" w:color="auto"/>
                                <w:left w:val="none" w:sz="0" w:space="0" w:color="auto"/>
                                <w:bottom w:val="none" w:sz="0" w:space="0" w:color="auto"/>
                                <w:right w:val="none" w:sz="0" w:space="0" w:color="auto"/>
                              </w:divBdr>
                              <w:divsChild>
                                <w:div w:id="76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595972">
      <w:bodyDiv w:val="1"/>
      <w:marLeft w:val="0"/>
      <w:marRight w:val="0"/>
      <w:marTop w:val="0"/>
      <w:marBottom w:val="0"/>
      <w:divBdr>
        <w:top w:val="none" w:sz="0" w:space="0" w:color="auto"/>
        <w:left w:val="none" w:sz="0" w:space="0" w:color="auto"/>
        <w:bottom w:val="none" w:sz="0" w:space="0" w:color="auto"/>
        <w:right w:val="none" w:sz="0" w:space="0" w:color="auto"/>
      </w:divBdr>
      <w:divsChild>
        <w:div w:id="1691879486">
          <w:marLeft w:val="475"/>
          <w:marRight w:val="0"/>
          <w:marTop w:val="77"/>
          <w:marBottom w:val="120"/>
          <w:divBdr>
            <w:top w:val="none" w:sz="0" w:space="0" w:color="auto"/>
            <w:left w:val="none" w:sz="0" w:space="0" w:color="auto"/>
            <w:bottom w:val="none" w:sz="0" w:space="0" w:color="auto"/>
            <w:right w:val="none" w:sz="0" w:space="0" w:color="auto"/>
          </w:divBdr>
        </w:div>
        <w:div w:id="1671837324">
          <w:marLeft w:val="475"/>
          <w:marRight w:val="0"/>
          <w:marTop w:val="77"/>
          <w:marBottom w:val="120"/>
          <w:divBdr>
            <w:top w:val="none" w:sz="0" w:space="0" w:color="auto"/>
            <w:left w:val="none" w:sz="0" w:space="0" w:color="auto"/>
            <w:bottom w:val="none" w:sz="0" w:space="0" w:color="auto"/>
            <w:right w:val="none" w:sz="0" w:space="0" w:color="auto"/>
          </w:divBdr>
        </w:div>
        <w:div w:id="728378035">
          <w:marLeft w:val="475"/>
          <w:marRight w:val="0"/>
          <w:marTop w:val="77"/>
          <w:marBottom w:val="120"/>
          <w:divBdr>
            <w:top w:val="none" w:sz="0" w:space="0" w:color="auto"/>
            <w:left w:val="none" w:sz="0" w:space="0" w:color="auto"/>
            <w:bottom w:val="none" w:sz="0" w:space="0" w:color="auto"/>
            <w:right w:val="none" w:sz="0" w:space="0" w:color="auto"/>
          </w:divBdr>
        </w:div>
        <w:div w:id="310864664">
          <w:marLeft w:val="475"/>
          <w:marRight w:val="0"/>
          <w:marTop w:val="77"/>
          <w:marBottom w:val="120"/>
          <w:divBdr>
            <w:top w:val="none" w:sz="0" w:space="0" w:color="auto"/>
            <w:left w:val="none" w:sz="0" w:space="0" w:color="auto"/>
            <w:bottom w:val="none" w:sz="0" w:space="0" w:color="auto"/>
            <w:right w:val="none" w:sz="0" w:space="0" w:color="auto"/>
          </w:divBdr>
        </w:div>
        <w:div w:id="1173951822">
          <w:marLeft w:val="475"/>
          <w:marRight w:val="0"/>
          <w:marTop w:val="77"/>
          <w:marBottom w:val="120"/>
          <w:divBdr>
            <w:top w:val="none" w:sz="0" w:space="0" w:color="auto"/>
            <w:left w:val="none" w:sz="0" w:space="0" w:color="auto"/>
            <w:bottom w:val="none" w:sz="0" w:space="0" w:color="auto"/>
            <w:right w:val="none" w:sz="0" w:space="0" w:color="auto"/>
          </w:divBdr>
        </w:div>
        <w:div w:id="666176836">
          <w:marLeft w:val="475"/>
          <w:marRight w:val="0"/>
          <w:marTop w:val="77"/>
          <w:marBottom w:val="120"/>
          <w:divBdr>
            <w:top w:val="none" w:sz="0" w:space="0" w:color="auto"/>
            <w:left w:val="none" w:sz="0" w:space="0" w:color="auto"/>
            <w:bottom w:val="none" w:sz="0" w:space="0" w:color="auto"/>
            <w:right w:val="none" w:sz="0" w:space="0" w:color="auto"/>
          </w:divBdr>
        </w:div>
        <w:div w:id="126556933">
          <w:marLeft w:val="475"/>
          <w:marRight w:val="0"/>
          <w:marTop w:val="77"/>
          <w:marBottom w:val="120"/>
          <w:divBdr>
            <w:top w:val="none" w:sz="0" w:space="0" w:color="auto"/>
            <w:left w:val="none" w:sz="0" w:space="0" w:color="auto"/>
            <w:bottom w:val="none" w:sz="0" w:space="0" w:color="auto"/>
            <w:right w:val="none" w:sz="0" w:space="0" w:color="auto"/>
          </w:divBdr>
        </w:div>
        <w:div w:id="1640725470">
          <w:marLeft w:val="475"/>
          <w:marRight w:val="0"/>
          <w:marTop w:val="77"/>
          <w:marBottom w:val="120"/>
          <w:divBdr>
            <w:top w:val="none" w:sz="0" w:space="0" w:color="auto"/>
            <w:left w:val="none" w:sz="0" w:space="0" w:color="auto"/>
            <w:bottom w:val="none" w:sz="0" w:space="0" w:color="auto"/>
            <w:right w:val="none" w:sz="0" w:space="0" w:color="auto"/>
          </w:divBdr>
        </w:div>
        <w:div w:id="1768038310">
          <w:marLeft w:val="475"/>
          <w:marRight w:val="0"/>
          <w:marTop w:val="77"/>
          <w:marBottom w:val="120"/>
          <w:divBdr>
            <w:top w:val="none" w:sz="0" w:space="0" w:color="auto"/>
            <w:left w:val="none" w:sz="0" w:space="0" w:color="auto"/>
            <w:bottom w:val="none" w:sz="0" w:space="0" w:color="auto"/>
            <w:right w:val="none" w:sz="0" w:space="0" w:color="auto"/>
          </w:divBdr>
        </w:div>
        <w:div w:id="395664811">
          <w:marLeft w:val="475"/>
          <w:marRight w:val="0"/>
          <w:marTop w:val="77"/>
          <w:marBottom w:val="120"/>
          <w:divBdr>
            <w:top w:val="none" w:sz="0" w:space="0" w:color="auto"/>
            <w:left w:val="none" w:sz="0" w:space="0" w:color="auto"/>
            <w:bottom w:val="none" w:sz="0" w:space="0" w:color="auto"/>
            <w:right w:val="none" w:sz="0" w:space="0" w:color="auto"/>
          </w:divBdr>
        </w:div>
        <w:div w:id="1019161677">
          <w:marLeft w:val="475"/>
          <w:marRight w:val="0"/>
          <w:marTop w:val="77"/>
          <w:marBottom w:val="120"/>
          <w:divBdr>
            <w:top w:val="none" w:sz="0" w:space="0" w:color="auto"/>
            <w:left w:val="none" w:sz="0" w:space="0" w:color="auto"/>
            <w:bottom w:val="none" w:sz="0" w:space="0" w:color="auto"/>
            <w:right w:val="none" w:sz="0" w:space="0" w:color="auto"/>
          </w:divBdr>
        </w:div>
        <w:div w:id="1207370252">
          <w:marLeft w:val="475"/>
          <w:marRight w:val="0"/>
          <w:marTop w:val="77"/>
          <w:marBottom w:val="120"/>
          <w:divBdr>
            <w:top w:val="none" w:sz="0" w:space="0" w:color="auto"/>
            <w:left w:val="none" w:sz="0" w:space="0" w:color="auto"/>
            <w:bottom w:val="none" w:sz="0" w:space="0" w:color="auto"/>
            <w:right w:val="none" w:sz="0" w:space="0" w:color="auto"/>
          </w:divBdr>
        </w:div>
        <w:div w:id="364915564">
          <w:marLeft w:val="475"/>
          <w:marRight w:val="0"/>
          <w:marTop w:val="77"/>
          <w:marBottom w:val="120"/>
          <w:divBdr>
            <w:top w:val="none" w:sz="0" w:space="0" w:color="auto"/>
            <w:left w:val="none" w:sz="0" w:space="0" w:color="auto"/>
            <w:bottom w:val="none" w:sz="0" w:space="0" w:color="auto"/>
            <w:right w:val="none" w:sz="0" w:space="0" w:color="auto"/>
          </w:divBdr>
        </w:div>
      </w:divsChild>
    </w:div>
    <w:div w:id="1835291735">
      <w:bodyDiv w:val="1"/>
      <w:marLeft w:val="0"/>
      <w:marRight w:val="0"/>
      <w:marTop w:val="0"/>
      <w:marBottom w:val="0"/>
      <w:divBdr>
        <w:top w:val="none" w:sz="0" w:space="0" w:color="auto"/>
        <w:left w:val="none" w:sz="0" w:space="0" w:color="auto"/>
        <w:bottom w:val="none" w:sz="0" w:space="0" w:color="auto"/>
        <w:right w:val="none" w:sz="0" w:space="0" w:color="auto"/>
      </w:divBdr>
      <w:divsChild>
        <w:div w:id="284503857">
          <w:marLeft w:val="0"/>
          <w:marRight w:val="0"/>
          <w:marTop w:val="0"/>
          <w:marBottom w:val="0"/>
          <w:divBdr>
            <w:top w:val="none" w:sz="0" w:space="0" w:color="auto"/>
            <w:left w:val="none" w:sz="0" w:space="0" w:color="auto"/>
            <w:bottom w:val="none" w:sz="0" w:space="0" w:color="auto"/>
            <w:right w:val="none" w:sz="0" w:space="0" w:color="auto"/>
          </w:divBdr>
          <w:divsChild>
            <w:div w:id="598606689">
              <w:marLeft w:val="0"/>
              <w:marRight w:val="0"/>
              <w:marTop w:val="0"/>
              <w:marBottom w:val="0"/>
              <w:divBdr>
                <w:top w:val="none" w:sz="0" w:space="0" w:color="auto"/>
                <w:left w:val="none" w:sz="0" w:space="0" w:color="auto"/>
                <w:bottom w:val="none" w:sz="0" w:space="0" w:color="auto"/>
                <w:right w:val="none" w:sz="0" w:space="0" w:color="auto"/>
              </w:divBdr>
            </w:div>
          </w:divsChild>
        </w:div>
        <w:div w:id="2022582338">
          <w:marLeft w:val="0"/>
          <w:marRight w:val="0"/>
          <w:marTop w:val="0"/>
          <w:marBottom w:val="0"/>
          <w:divBdr>
            <w:top w:val="none" w:sz="0" w:space="0" w:color="auto"/>
            <w:left w:val="none" w:sz="0" w:space="0" w:color="auto"/>
            <w:bottom w:val="single" w:sz="12" w:space="0" w:color="20AA3F"/>
            <w:right w:val="none" w:sz="0" w:space="0" w:color="auto"/>
          </w:divBdr>
          <w:divsChild>
            <w:div w:id="44565257">
              <w:marLeft w:val="0"/>
              <w:marRight w:val="0"/>
              <w:marTop w:val="0"/>
              <w:marBottom w:val="0"/>
              <w:divBdr>
                <w:top w:val="none" w:sz="0" w:space="0" w:color="auto"/>
                <w:left w:val="none" w:sz="0" w:space="0" w:color="auto"/>
                <w:bottom w:val="none" w:sz="0" w:space="0" w:color="auto"/>
                <w:right w:val="none" w:sz="0" w:space="0" w:color="auto"/>
              </w:divBdr>
              <w:divsChild>
                <w:div w:id="1672021289">
                  <w:marLeft w:val="0"/>
                  <w:marRight w:val="-60"/>
                  <w:marTop w:val="0"/>
                  <w:marBottom w:val="0"/>
                  <w:divBdr>
                    <w:top w:val="single" w:sz="2" w:space="11" w:color="auto"/>
                    <w:left w:val="single" w:sz="48" w:space="11" w:color="auto"/>
                    <w:bottom w:val="single" w:sz="2" w:space="11" w:color="auto"/>
                    <w:right w:val="single" w:sz="48" w:space="11" w:color="auto"/>
                  </w:divBdr>
                  <w:divsChild>
                    <w:div w:id="1181238987">
                      <w:marLeft w:val="0"/>
                      <w:marRight w:val="0"/>
                      <w:marTop w:val="0"/>
                      <w:marBottom w:val="0"/>
                      <w:divBdr>
                        <w:top w:val="none" w:sz="0" w:space="0" w:color="auto"/>
                        <w:left w:val="none" w:sz="0" w:space="0" w:color="auto"/>
                        <w:bottom w:val="none" w:sz="0" w:space="0" w:color="auto"/>
                        <w:right w:val="none" w:sz="0" w:space="0" w:color="auto"/>
                      </w:divBdr>
                      <w:divsChild>
                        <w:div w:id="1269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855388">
      <w:bodyDiv w:val="1"/>
      <w:marLeft w:val="0"/>
      <w:marRight w:val="0"/>
      <w:marTop w:val="0"/>
      <w:marBottom w:val="0"/>
      <w:divBdr>
        <w:top w:val="none" w:sz="0" w:space="0" w:color="auto"/>
        <w:left w:val="none" w:sz="0" w:space="0" w:color="auto"/>
        <w:bottom w:val="none" w:sz="0" w:space="0" w:color="auto"/>
        <w:right w:val="none" w:sz="0" w:space="0" w:color="auto"/>
      </w:divBdr>
      <w:divsChild>
        <w:div w:id="79718941">
          <w:marLeft w:val="821"/>
          <w:marRight w:val="0"/>
          <w:marTop w:val="0"/>
          <w:marBottom w:val="120"/>
          <w:divBdr>
            <w:top w:val="none" w:sz="0" w:space="0" w:color="auto"/>
            <w:left w:val="none" w:sz="0" w:space="0" w:color="auto"/>
            <w:bottom w:val="none" w:sz="0" w:space="0" w:color="auto"/>
            <w:right w:val="none" w:sz="0" w:space="0" w:color="auto"/>
          </w:divBdr>
        </w:div>
      </w:divsChild>
    </w:div>
    <w:div w:id="1864711944">
      <w:bodyDiv w:val="1"/>
      <w:marLeft w:val="0"/>
      <w:marRight w:val="0"/>
      <w:marTop w:val="0"/>
      <w:marBottom w:val="0"/>
      <w:divBdr>
        <w:top w:val="none" w:sz="0" w:space="0" w:color="auto"/>
        <w:left w:val="none" w:sz="0" w:space="0" w:color="auto"/>
        <w:bottom w:val="none" w:sz="0" w:space="0" w:color="auto"/>
        <w:right w:val="none" w:sz="0" w:space="0" w:color="auto"/>
      </w:divBdr>
      <w:divsChild>
        <w:div w:id="1107971475">
          <w:marLeft w:val="0"/>
          <w:marRight w:val="0"/>
          <w:marTop w:val="115"/>
          <w:marBottom w:val="120"/>
          <w:divBdr>
            <w:top w:val="none" w:sz="0" w:space="0" w:color="auto"/>
            <w:left w:val="none" w:sz="0" w:space="0" w:color="auto"/>
            <w:bottom w:val="none" w:sz="0" w:space="0" w:color="auto"/>
            <w:right w:val="none" w:sz="0" w:space="0" w:color="auto"/>
          </w:divBdr>
        </w:div>
        <w:div w:id="686057146">
          <w:marLeft w:val="0"/>
          <w:marRight w:val="0"/>
          <w:marTop w:val="115"/>
          <w:marBottom w:val="120"/>
          <w:divBdr>
            <w:top w:val="none" w:sz="0" w:space="0" w:color="auto"/>
            <w:left w:val="none" w:sz="0" w:space="0" w:color="auto"/>
            <w:bottom w:val="none" w:sz="0" w:space="0" w:color="auto"/>
            <w:right w:val="none" w:sz="0" w:space="0" w:color="auto"/>
          </w:divBdr>
        </w:div>
        <w:div w:id="12340725">
          <w:marLeft w:val="0"/>
          <w:marRight w:val="0"/>
          <w:marTop w:val="115"/>
          <w:marBottom w:val="120"/>
          <w:divBdr>
            <w:top w:val="none" w:sz="0" w:space="0" w:color="auto"/>
            <w:left w:val="none" w:sz="0" w:space="0" w:color="auto"/>
            <w:bottom w:val="none" w:sz="0" w:space="0" w:color="auto"/>
            <w:right w:val="none" w:sz="0" w:space="0" w:color="auto"/>
          </w:divBdr>
        </w:div>
        <w:div w:id="1336761453">
          <w:marLeft w:val="0"/>
          <w:marRight w:val="0"/>
          <w:marTop w:val="115"/>
          <w:marBottom w:val="120"/>
          <w:divBdr>
            <w:top w:val="none" w:sz="0" w:space="0" w:color="auto"/>
            <w:left w:val="none" w:sz="0" w:space="0" w:color="auto"/>
            <w:bottom w:val="none" w:sz="0" w:space="0" w:color="auto"/>
            <w:right w:val="none" w:sz="0" w:space="0" w:color="auto"/>
          </w:divBdr>
        </w:div>
      </w:divsChild>
    </w:div>
    <w:div w:id="1875652948">
      <w:bodyDiv w:val="1"/>
      <w:marLeft w:val="0"/>
      <w:marRight w:val="0"/>
      <w:marTop w:val="0"/>
      <w:marBottom w:val="0"/>
      <w:divBdr>
        <w:top w:val="none" w:sz="0" w:space="0" w:color="auto"/>
        <w:left w:val="none" w:sz="0" w:space="0" w:color="auto"/>
        <w:bottom w:val="none" w:sz="0" w:space="0" w:color="auto"/>
        <w:right w:val="none" w:sz="0" w:space="0" w:color="auto"/>
      </w:divBdr>
    </w:div>
    <w:div w:id="1954437532">
      <w:bodyDiv w:val="1"/>
      <w:marLeft w:val="0"/>
      <w:marRight w:val="0"/>
      <w:marTop w:val="0"/>
      <w:marBottom w:val="0"/>
      <w:divBdr>
        <w:top w:val="none" w:sz="0" w:space="0" w:color="auto"/>
        <w:left w:val="none" w:sz="0" w:space="0" w:color="auto"/>
        <w:bottom w:val="none" w:sz="0" w:space="0" w:color="auto"/>
        <w:right w:val="none" w:sz="0" w:space="0" w:color="auto"/>
      </w:divBdr>
      <w:divsChild>
        <w:div w:id="572159858">
          <w:marLeft w:val="0"/>
          <w:marRight w:val="0"/>
          <w:marTop w:val="0"/>
          <w:marBottom w:val="0"/>
          <w:divBdr>
            <w:top w:val="none" w:sz="0" w:space="0" w:color="auto"/>
            <w:left w:val="none" w:sz="0" w:space="0" w:color="auto"/>
            <w:bottom w:val="none" w:sz="0" w:space="0" w:color="auto"/>
            <w:right w:val="none" w:sz="0" w:space="0" w:color="auto"/>
          </w:divBdr>
        </w:div>
      </w:divsChild>
    </w:div>
    <w:div w:id="1976449693">
      <w:bodyDiv w:val="1"/>
      <w:marLeft w:val="0"/>
      <w:marRight w:val="0"/>
      <w:marTop w:val="0"/>
      <w:marBottom w:val="0"/>
      <w:divBdr>
        <w:top w:val="none" w:sz="0" w:space="0" w:color="auto"/>
        <w:left w:val="none" w:sz="0" w:space="0" w:color="auto"/>
        <w:bottom w:val="none" w:sz="0" w:space="0" w:color="auto"/>
        <w:right w:val="none" w:sz="0" w:space="0" w:color="auto"/>
      </w:divBdr>
      <w:divsChild>
        <w:div w:id="1735853642">
          <w:marLeft w:val="475"/>
          <w:marRight w:val="0"/>
          <w:marTop w:val="115"/>
          <w:marBottom w:val="120"/>
          <w:divBdr>
            <w:top w:val="none" w:sz="0" w:space="0" w:color="auto"/>
            <w:left w:val="none" w:sz="0" w:space="0" w:color="auto"/>
            <w:bottom w:val="none" w:sz="0" w:space="0" w:color="auto"/>
            <w:right w:val="none" w:sz="0" w:space="0" w:color="auto"/>
          </w:divBdr>
        </w:div>
        <w:div w:id="118691294">
          <w:marLeft w:val="475"/>
          <w:marRight w:val="0"/>
          <w:marTop w:val="115"/>
          <w:marBottom w:val="120"/>
          <w:divBdr>
            <w:top w:val="none" w:sz="0" w:space="0" w:color="auto"/>
            <w:left w:val="none" w:sz="0" w:space="0" w:color="auto"/>
            <w:bottom w:val="none" w:sz="0" w:space="0" w:color="auto"/>
            <w:right w:val="none" w:sz="0" w:space="0" w:color="auto"/>
          </w:divBdr>
        </w:div>
        <w:div w:id="1217082721">
          <w:marLeft w:val="475"/>
          <w:marRight w:val="0"/>
          <w:marTop w:val="115"/>
          <w:marBottom w:val="120"/>
          <w:divBdr>
            <w:top w:val="none" w:sz="0" w:space="0" w:color="auto"/>
            <w:left w:val="none" w:sz="0" w:space="0" w:color="auto"/>
            <w:bottom w:val="none" w:sz="0" w:space="0" w:color="auto"/>
            <w:right w:val="none" w:sz="0" w:space="0" w:color="auto"/>
          </w:divBdr>
        </w:div>
        <w:div w:id="37826861">
          <w:marLeft w:val="475"/>
          <w:marRight w:val="0"/>
          <w:marTop w:val="115"/>
          <w:marBottom w:val="120"/>
          <w:divBdr>
            <w:top w:val="none" w:sz="0" w:space="0" w:color="auto"/>
            <w:left w:val="none" w:sz="0" w:space="0" w:color="auto"/>
            <w:bottom w:val="none" w:sz="0" w:space="0" w:color="auto"/>
            <w:right w:val="none" w:sz="0" w:space="0" w:color="auto"/>
          </w:divBdr>
        </w:div>
        <w:div w:id="1941906968">
          <w:marLeft w:val="475"/>
          <w:marRight w:val="0"/>
          <w:marTop w:val="115"/>
          <w:marBottom w:val="120"/>
          <w:divBdr>
            <w:top w:val="none" w:sz="0" w:space="0" w:color="auto"/>
            <w:left w:val="none" w:sz="0" w:space="0" w:color="auto"/>
            <w:bottom w:val="none" w:sz="0" w:space="0" w:color="auto"/>
            <w:right w:val="none" w:sz="0" w:space="0" w:color="auto"/>
          </w:divBdr>
        </w:div>
      </w:divsChild>
    </w:div>
    <w:div w:id="1988892705">
      <w:bodyDiv w:val="1"/>
      <w:marLeft w:val="0"/>
      <w:marRight w:val="0"/>
      <w:marTop w:val="0"/>
      <w:marBottom w:val="0"/>
      <w:divBdr>
        <w:top w:val="none" w:sz="0" w:space="0" w:color="auto"/>
        <w:left w:val="none" w:sz="0" w:space="0" w:color="auto"/>
        <w:bottom w:val="none" w:sz="0" w:space="0" w:color="auto"/>
        <w:right w:val="none" w:sz="0" w:space="0" w:color="auto"/>
      </w:divBdr>
    </w:div>
    <w:div w:id="2010674654">
      <w:bodyDiv w:val="1"/>
      <w:marLeft w:val="0"/>
      <w:marRight w:val="0"/>
      <w:marTop w:val="0"/>
      <w:marBottom w:val="0"/>
      <w:divBdr>
        <w:top w:val="none" w:sz="0" w:space="0" w:color="auto"/>
        <w:left w:val="none" w:sz="0" w:space="0" w:color="auto"/>
        <w:bottom w:val="none" w:sz="0" w:space="0" w:color="auto"/>
        <w:right w:val="none" w:sz="0" w:space="0" w:color="auto"/>
      </w:divBdr>
    </w:div>
    <w:div w:id="2022974067">
      <w:bodyDiv w:val="1"/>
      <w:marLeft w:val="0"/>
      <w:marRight w:val="0"/>
      <w:marTop w:val="0"/>
      <w:marBottom w:val="0"/>
      <w:divBdr>
        <w:top w:val="none" w:sz="0" w:space="0" w:color="auto"/>
        <w:left w:val="none" w:sz="0" w:space="0" w:color="auto"/>
        <w:bottom w:val="none" w:sz="0" w:space="0" w:color="auto"/>
        <w:right w:val="none" w:sz="0" w:space="0" w:color="auto"/>
      </w:divBdr>
      <w:divsChild>
        <w:div w:id="275454299">
          <w:marLeft w:val="475"/>
          <w:marRight w:val="0"/>
          <w:marTop w:val="115"/>
          <w:marBottom w:val="120"/>
          <w:divBdr>
            <w:top w:val="none" w:sz="0" w:space="0" w:color="auto"/>
            <w:left w:val="none" w:sz="0" w:space="0" w:color="auto"/>
            <w:bottom w:val="none" w:sz="0" w:space="0" w:color="auto"/>
            <w:right w:val="none" w:sz="0" w:space="0" w:color="auto"/>
          </w:divBdr>
        </w:div>
        <w:div w:id="1389114052">
          <w:marLeft w:val="475"/>
          <w:marRight w:val="0"/>
          <w:marTop w:val="115"/>
          <w:marBottom w:val="120"/>
          <w:divBdr>
            <w:top w:val="none" w:sz="0" w:space="0" w:color="auto"/>
            <w:left w:val="none" w:sz="0" w:space="0" w:color="auto"/>
            <w:bottom w:val="none" w:sz="0" w:space="0" w:color="auto"/>
            <w:right w:val="none" w:sz="0" w:space="0" w:color="auto"/>
          </w:divBdr>
        </w:div>
        <w:div w:id="1289553607">
          <w:marLeft w:val="475"/>
          <w:marRight w:val="0"/>
          <w:marTop w:val="115"/>
          <w:marBottom w:val="120"/>
          <w:divBdr>
            <w:top w:val="none" w:sz="0" w:space="0" w:color="auto"/>
            <w:left w:val="none" w:sz="0" w:space="0" w:color="auto"/>
            <w:bottom w:val="none" w:sz="0" w:space="0" w:color="auto"/>
            <w:right w:val="none" w:sz="0" w:space="0" w:color="auto"/>
          </w:divBdr>
        </w:div>
        <w:div w:id="1095902027">
          <w:marLeft w:val="475"/>
          <w:marRight w:val="0"/>
          <w:marTop w:val="115"/>
          <w:marBottom w:val="120"/>
          <w:divBdr>
            <w:top w:val="none" w:sz="0" w:space="0" w:color="auto"/>
            <w:left w:val="none" w:sz="0" w:space="0" w:color="auto"/>
            <w:bottom w:val="none" w:sz="0" w:space="0" w:color="auto"/>
            <w:right w:val="none" w:sz="0" w:space="0" w:color="auto"/>
          </w:divBdr>
        </w:div>
      </w:divsChild>
    </w:div>
    <w:div w:id="2049067408">
      <w:bodyDiv w:val="1"/>
      <w:marLeft w:val="0"/>
      <w:marRight w:val="0"/>
      <w:marTop w:val="0"/>
      <w:marBottom w:val="0"/>
      <w:divBdr>
        <w:top w:val="none" w:sz="0" w:space="0" w:color="auto"/>
        <w:left w:val="none" w:sz="0" w:space="0" w:color="auto"/>
        <w:bottom w:val="none" w:sz="0" w:space="0" w:color="auto"/>
        <w:right w:val="none" w:sz="0" w:space="0" w:color="auto"/>
      </w:divBdr>
      <w:divsChild>
        <w:div w:id="1342010611">
          <w:marLeft w:val="475"/>
          <w:marRight w:val="0"/>
          <w:marTop w:val="91"/>
          <w:marBottom w:val="120"/>
          <w:divBdr>
            <w:top w:val="none" w:sz="0" w:space="0" w:color="auto"/>
            <w:left w:val="none" w:sz="0" w:space="0" w:color="auto"/>
            <w:bottom w:val="none" w:sz="0" w:space="0" w:color="auto"/>
            <w:right w:val="none" w:sz="0" w:space="0" w:color="auto"/>
          </w:divBdr>
        </w:div>
        <w:div w:id="931743277">
          <w:marLeft w:val="475"/>
          <w:marRight w:val="0"/>
          <w:marTop w:val="91"/>
          <w:marBottom w:val="120"/>
          <w:divBdr>
            <w:top w:val="none" w:sz="0" w:space="0" w:color="auto"/>
            <w:left w:val="none" w:sz="0" w:space="0" w:color="auto"/>
            <w:bottom w:val="none" w:sz="0" w:space="0" w:color="auto"/>
            <w:right w:val="none" w:sz="0" w:space="0" w:color="auto"/>
          </w:divBdr>
        </w:div>
        <w:div w:id="625434147">
          <w:marLeft w:val="475"/>
          <w:marRight w:val="0"/>
          <w:marTop w:val="91"/>
          <w:marBottom w:val="120"/>
          <w:divBdr>
            <w:top w:val="none" w:sz="0" w:space="0" w:color="auto"/>
            <w:left w:val="none" w:sz="0" w:space="0" w:color="auto"/>
            <w:bottom w:val="none" w:sz="0" w:space="0" w:color="auto"/>
            <w:right w:val="none" w:sz="0" w:space="0" w:color="auto"/>
          </w:divBdr>
        </w:div>
      </w:divsChild>
    </w:div>
    <w:div w:id="2072997911">
      <w:bodyDiv w:val="1"/>
      <w:marLeft w:val="0"/>
      <w:marRight w:val="0"/>
      <w:marTop w:val="0"/>
      <w:marBottom w:val="0"/>
      <w:divBdr>
        <w:top w:val="none" w:sz="0" w:space="0" w:color="auto"/>
        <w:left w:val="none" w:sz="0" w:space="0" w:color="auto"/>
        <w:bottom w:val="none" w:sz="0" w:space="0" w:color="auto"/>
        <w:right w:val="none" w:sz="0" w:space="0" w:color="auto"/>
      </w:divBdr>
    </w:div>
    <w:div w:id="2077631837">
      <w:bodyDiv w:val="1"/>
      <w:marLeft w:val="0"/>
      <w:marRight w:val="0"/>
      <w:marTop w:val="0"/>
      <w:marBottom w:val="0"/>
      <w:divBdr>
        <w:top w:val="none" w:sz="0" w:space="0" w:color="auto"/>
        <w:left w:val="none" w:sz="0" w:space="0" w:color="auto"/>
        <w:bottom w:val="none" w:sz="0" w:space="0" w:color="auto"/>
        <w:right w:val="none" w:sz="0" w:space="0" w:color="auto"/>
      </w:divBdr>
    </w:div>
    <w:div w:id="2087066102">
      <w:bodyDiv w:val="1"/>
      <w:marLeft w:val="0"/>
      <w:marRight w:val="0"/>
      <w:marTop w:val="0"/>
      <w:marBottom w:val="0"/>
      <w:divBdr>
        <w:top w:val="none" w:sz="0" w:space="0" w:color="auto"/>
        <w:left w:val="none" w:sz="0" w:space="0" w:color="auto"/>
        <w:bottom w:val="none" w:sz="0" w:space="0" w:color="auto"/>
        <w:right w:val="none" w:sz="0" w:space="0" w:color="auto"/>
      </w:divBdr>
      <w:divsChild>
        <w:div w:id="1634142812">
          <w:marLeft w:val="288"/>
          <w:marRight w:val="0"/>
          <w:marTop w:val="96"/>
          <w:marBottom w:val="120"/>
          <w:divBdr>
            <w:top w:val="none" w:sz="0" w:space="0" w:color="auto"/>
            <w:left w:val="none" w:sz="0" w:space="0" w:color="auto"/>
            <w:bottom w:val="none" w:sz="0" w:space="0" w:color="auto"/>
            <w:right w:val="none" w:sz="0" w:space="0" w:color="auto"/>
          </w:divBdr>
        </w:div>
        <w:div w:id="1596592568">
          <w:marLeft w:val="288"/>
          <w:marRight w:val="0"/>
          <w:marTop w:val="96"/>
          <w:marBottom w:val="120"/>
          <w:divBdr>
            <w:top w:val="none" w:sz="0" w:space="0" w:color="auto"/>
            <w:left w:val="none" w:sz="0" w:space="0" w:color="auto"/>
            <w:bottom w:val="none" w:sz="0" w:space="0" w:color="auto"/>
            <w:right w:val="none" w:sz="0" w:space="0" w:color="auto"/>
          </w:divBdr>
        </w:div>
        <w:div w:id="392123614">
          <w:marLeft w:val="288"/>
          <w:marRight w:val="0"/>
          <w:marTop w:val="96"/>
          <w:marBottom w:val="120"/>
          <w:divBdr>
            <w:top w:val="none" w:sz="0" w:space="0" w:color="auto"/>
            <w:left w:val="none" w:sz="0" w:space="0" w:color="auto"/>
            <w:bottom w:val="none" w:sz="0" w:space="0" w:color="auto"/>
            <w:right w:val="none" w:sz="0" w:space="0" w:color="auto"/>
          </w:divBdr>
        </w:div>
        <w:div w:id="347293415">
          <w:marLeft w:val="288"/>
          <w:marRight w:val="0"/>
          <w:marTop w:val="96"/>
          <w:marBottom w:val="120"/>
          <w:divBdr>
            <w:top w:val="none" w:sz="0" w:space="0" w:color="auto"/>
            <w:left w:val="none" w:sz="0" w:space="0" w:color="auto"/>
            <w:bottom w:val="none" w:sz="0" w:space="0" w:color="auto"/>
            <w:right w:val="none" w:sz="0" w:space="0" w:color="auto"/>
          </w:divBdr>
        </w:div>
        <w:div w:id="338579361">
          <w:marLeft w:val="288"/>
          <w:marRight w:val="0"/>
          <w:marTop w:val="96"/>
          <w:marBottom w:val="120"/>
          <w:divBdr>
            <w:top w:val="none" w:sz="0" w:space="0" w:color="auto"/>
            <w:left w:val="none" w:sz="0" w:space="0" w:color="auto"/>
            <w:bottom w:val="none" w:sz="0" w:space="0" w:color="auto"/>
            <w:right w:val="none" w:sz="0" w:space="0" w:color="auto"/>
          </w:divBdr>
        </w:div>
        <w:div w:id="1299992420">
          <w:marLeft w:val="288"/>
          <w:marRight w:val="0"/>
          <w:marTop w:val="96"/>
          <w:marBottom w:val="120"/>
          <w:divBdr>
            <w:top w:val="none" w:sz="0" w:space="0" w:color="auto"/>
            <w:left w:val="none" w:sz="0" w:space="0" w:color="auto"/>
            <w:bottom w:val="none" w:sz="0" w:space="0" w:color="auto"/>
            <w:right w:val="none" w:sz="0" w:space="0" w:color="auto"/>
          </w:divBdr>
        </w:div>
        <w:div w:id="1949851324">
          <w:marLeft w:val="288"/>
          <w:marRight w:val="0"/>
          <w:marTop w:val="96"/>
          <w:marBottom w:val="120"/>
          <w:divBdr>
            <w:top w:val="none" w:sz="0" w:space="0" w:color="auto"/>
            <w:left w:val="none" w:sz="0" w:space="0" w:color="auto"/>
            <w:bottom w:val="none" w:sz="0" w:space="0" w:color="auto"/>
            <w:right w:val="none" w:sz="0" w:space="0" w:color="auto"/>
          </w:divBdr>
        </w:div>
      </w:divsChild>
    </w:div>
    <w:div w:id="2097051512">
      <w:bodyDiv w:val="1"/>
      <w:marLeft w:val="0"/>
      <w:marRight w:val="0"/>
      <w:marTop w:val="0"/>
      <w:marBottom w:val="0"/>
      <w:divBdr>
        <w:top w:val="none" w:sz="0" w:space="0" w:color="auto"/>
        <w:left w:val="none" w:sz="0" w:space="0" w:color="auto"/>
        <w:bottom w:val="none" w:sz="0" w:space="0" w:color="auto"/>
        <w:right w:val="none" w:sz="0" w:space="0" w:color="auto"/>
      </w:divBdr>
      <w:divsChild>
        <w:div w:id="702638761">
          <w:marLeft w:val="475"/>
          <w:marRight w:val="0"/>
          <w:marTop w:val="96"/>
          <w:marBottom w:val="120"/>
          <w:divBdr>
            <w:top w:val="none" w:sz="0" w:space="0" w:color="auto"/>
            <w:left w:val="none" w:sz="0" w:space="0" w:color="auto"/>
            <w:bottom w:val="none" w:sz="0" w:space="0" w:color="auto"/>
            <w:right w:val="none" w:sz="0" w:space="0" w:color="auto"/>
          </w:divBdr>
        </w:div>
        <w:div w:id="1879388173">
          <w:marLeft w:val="475"/>
          <w:marRight w:val="0"/>
          <w:marTop w:val="96"/>
          <w:marBottom w:val="120"/>
          <w:divBdr>
            <w:top w:val="none" w:sz="0" w:space="0" w:color="auto"/>
            <w:left w:val="none" w:sz="0" w:space="0" w:color="auto"/>
            <w:bottom w:val="none" w:sz="0" w:space="0" w:color="auto"/>
            <w:right w:val="none" w:sz="0" w:space="0" w:color="auto"/>
          </w:divBdr>
        </w:div>
        <w:div w:id="1073965984">
          <w:marLeft w:val="475"/>
          <w:marRight w:val="0"/>
          <w:marTop w:val="96"/>
          <w:marBottom w:val="120"/>
          <w:divBdr>
            <w:top w:val="none" w:sz="0" w:space="0" w:color="auto"/>
            <w:left w:val="none" w:sz="0" w:space="0" w:color="auto"/>
            <w:bottom w:val="none" w:sz="0" w:space="0" w:color="auto"/>
            <w:right w:val="none" w:sz="0" w:space="0" w:color="auto"/>
          </w:divBdr>
        </w:div>
        <w:div w:id="2125538937">
          <w:marLeft w:val="475"/>
          <w:marRight w:val="0"/>
          <w:marTop w:val="96"/>
          <w:marBottom w:val="120"/>
          <w:divBdr>
            <w:top w:val="none" w:sz="0" w:space="0" w:color="auto"/>
            <w:left w:val="none" w:sz="0" w:space="0" w:color="auto"/>
            <w:bottom w:val="none" w:sz="0" w:space="0" w:color="auto"/>
            <w:right w:val="none" w:sz="0" w:space="0" w:color="auto"/>
          </w:divBdr>
        </w:div>
        <w:div w:id="1184827622">
          <w:marLeft w:val="475"/>
          <w:marRight w:val="0"/>
          <w:marTop w:val="96"/>
          <w:marBottom w:val="120"/>
          <w:divBdr>
            <w:top w:val="none" w:sz="0" w:space="0" w:color="auto"/>
            <w:left w:val="none" w:sz="0" w:space="0" w:color="auto"/>
            <w:bottom w:val="none" w:sz="0" w:space="0" w:color="auto"/>
            <w:right w:val="none" w:sz="0" w:space="0" w:color="auto"/>
          </w:divBdr>
        </w:div>
      </w:divsChild>
    </w:div>
    <w:div w:id="2098020099">
      <w:bodyDiv w:val="1"/>
      <w:marLeft w:val="0"/>
      <w:marRight w:val="0"/>
      <w:marTop w:val="0"/>
      <w:marBottom w:val="0"/>
      <w:divBdr>
        <w:top w:val="none" w:sz="0" w:space="0" w:color="auto"/>
        <w:left w:val="none" w:sz="0" w:space="0" w:color="auto"/>
        <w:bottom w:val="none" w:sz="0" w:space="0" w:color="auto"/>
        <w:right w:val="none" w:sz="0" w:space="0" w:color="auto"/>
      </w:divBdr>
    </w:div>
    <w:div w:id="2099322847">
      <w:bodyDiv w:val="1"/>
      <w:marLeft w:val="0"/>
      <w:marRight w:val="0"/>
      <w:marTop w:val="0"/>
      <w:marBottom w:val="0"/>
      <w:divBdr>
        <w:top w:val="none" w:sz="0" w:space="0" w:color="auto"/>
        <w:left w:val="none" w:sz="0" w:space="0" w:color="auto"/>
        <w:bottom w:val="none" w:sz="0" w:space="0" w:color="auto"/>
        <w:right w:val="none" w:sz="0" w:space="0" w:color="auto"/>
      </w:divBdr>
      <w:divsChild>
        <w:div w:id="1620989856">
          <w:marLeft w:val="475"/>
          <w:marRight w:val="0"/>
          <w:marTop w:val="96"/>
          <w:marBottom w:val="120"/>
          <w:divBdr>
            <w:top w:val="none" w:sz="0" w:space="0" w:color="auto"/>
            <w:left w:val="none" w:sz="0" w:space="0" w:color="auto"/>
            <w:bottom w:val="none" w:sz="0" w:space="0" w:color="auto"/>
            <w:right w:val="none" w:sz="0" w:space="0" w:color="auto"/>
          </w:divBdr>
        </w:div>
        <w:div w:id="738984894">
          <w:marLeft w:val="605"/>
          <w:marRight w:val="0"/>
          <w:marTop w:val="96"/>
          <w:marBottom w:val="120"/>
          <w:divBdr>
            <w:top w:val="none" w:sz="0" w:space="0" w:color="auto"/>
            <w:left w:val="none" w:sz="0" w:space="0" w:color="auto"/>
            <w:bottom w:val="none" w:sz="0" w:space="0" w:color="auto"/>
            <w:right w:val="none" w:sz="0" w:space="0" w:color="auto"/>
          </w:divBdr>
        </w:div>
        <w:div w:id="1438057899">
          <w:marLeft w:val="475"/>
          <w:marRight w:val="0"/>
          <w:marTop w:val="96"/>
          <w:marBottom w:val="120"/>
          <w:divBdr>
            <w:top w:val="none" w:sz="0" w:space="0" w:color="auto"/>
            <w:left w:val="none" w:sz="0" w:space="0" w:color="auto"/>
            <w:bottom w:val="none" w:sz="0" w:space="0" w:color="auto"/>
            <w:right w:val="none" w:sz="0" w:space="0" w:color="auto"/>
          </w:divBdr>
        </w:div>
      </w:divsChild>
    </w:div>
    <w:div w:id="2107654876">
      <w:bodyDiv w:val="1"/>
      <w:marLeft w:val="0"/>
      <w:marRight w:val="0"/>
      <w:marTop w:val="0"/>
      <w:marBottom w:val="0"/>
      <w:divBdr>
        <w:top w:val="none" w:sz="0" w:space="0" w:color="auto"/>
        <w:left w:val="none" w:sz="0" w:space="0" w:color="auto"/>
        <w:bottom w:val="none" w:sz="0" w:space="0" w:color="auto"/>
        <w:right w:val="none" w:sz="0" w:space="0" w:color="auto"/>
      </w:divBdr>
    </w:div>
    <w:div w:id="2123566953">
      <w:bodyDiv w:val="1"/>
      <w:marLeft w:val="0"/>
      <w:marRight w:val="0"/>
      <w:marTop w:val="0"/>
      <w:marBottom w:val="0"/>
      <w:divBdr>
        <w:top w:val="none" w:sz="0" w:space="0" w:color="auto"/>
        <w:left w:val="none" w:sz="0" w:space="0" w:color="auto"/>
        <w:bottom w:val="none" w:sz="0" w:space="0" w:color="auto"/>
        <w:right w:val="none" w:sz="0" w:space="0" w:color="auto"/>
      </w:divBdr>
      <w:divsChild>
        <w:div w:id="821391071">
          <w:marLeft w:val="475"/>
          <w:marRight w:val="0"/>
          <w:marTop w:val="115"/>
          <w:marBottom w:val="120"/>
          <w:divBdr>
            <w:top w:val="none" w:sz="0" w:space="0" w:color="auto"/>
            <w:left w:val="none" w:sz="0" w:space="0" w:color="auto"/>
            <w:bottom w:val="none" w:sz="0" w:space="0" w:color="auto"/>
            <w:right w:val="none" w:sz="0" w:space="0" w:color="auto"/>
          </w:divBdr>
        </w:div>
        <w:div w:id="256644623">
          <w:marLeft w:val="475"/>
          <w:marRight w:val="0"/>
          <w:marTop w:val="115"/>
          <w:marBottom w:val="120"/>
          <w:divBdr>
            <w:top w:val="none" w:sz="0" w:space="0" w:color="auto"/>
            <w:left w:val="none" w:sz="0" w:space="0" w:color="auto"/>
            <w:bottom w:val="none" w:sz="0" w:space="0" w:color="auto"/>
            <w:right w:val="none" w:sz="0" w:space="0" w:color="auto"/>
          </w:divBdr>
        </w:div>
        <w:div w:id="1093673781">
          <w:marLeft w:val="475"/>
          <w:marRight w:val="0"/>
          <w:marTop w:val="115"/>
          <w:marBottom w:val="120"/>
          <w:divBdr>
            <w:top w:val="none" w:sz="0" w:space="0" w:color="auto"/>
            <w:left w:val="none" w:sz="0" w:space="0" w:color="auto"/>
            <w:bottom w:val="none" w:sz="0" w:space="0" w:color="auto"/>
            <w:right w:val="none" w:sz="0" w:space="0" w:color="auto"/>
          </w:divBdr>
        </w:div>
        <w:div w:id="1389844763">
          <w:marLeft w:val="475"/>
          <w:marRight w:val="0"/>
          <w:marTop w:val="115"/>
          <w:marBottom w:val="120"/>
          <w:divBdr>
            <w:top w:val="none" w:sz="0" w:space="0" w:color="auto"/>
            <w:left w:val="none" w:sz="0" w:space="0" w:color="auto"/>
            <w:bottom w:val="none" w:sz="0" w:space="0" w:color="auto"/>
            <w:right w:val="none" w:sz="0" w:space="0" w:color="auto"/>
          </w:divBdr>
        </w:div>
      </w:divsChild>
    </w:div>
    <w:div w:id="2145080379">
      <w:bodyDiv w:val="1"/>
      <w:marLeft w:val="0"/>
      <w:marRight w:val="0"/>
      <w:marTop w:val="0"/>
      <w:marBottom w:val="0"/>
      <w:divBdr>
        <w:top w:val="none" w:sz="0" w:space="0" w:color="auto"/>
        <w:left w:val="none" w:sz="0" w:space="0" w:color="auto"/>
        <w:bottom w:val="none" w:sz="0" w:space="0" w:color="auto"/>
        <w:right w:val="none" w:sz="0" w:space="0" w:color="auto"/>
      </w:divBdr>
      <w:divsChild>
        <w:div w:id="1478259791">
          <w:marLeft w:val="288"/>
          <w:marRight w:val="0"/>
          <w:marTop w:val="115"/>
          <w:marBottom w:val="120"/>
          <w:divBdr>
            <w:top w:val="none" w:sz="0" w:space="0" w:color="auto"/>
            <w:left w:val="none" w:sz="0" w:space="0" w:color="auto"/>
            <w:bottom w:val="none" w:sz="0" w:space="0" w:color="auto"/>
            <w:right w:val="none" w:sz="0" w:space="0" w:color="auto"/>
          </w:divBdr>
        </w:div>
        <w:div w:id="450053997">
          <w:marLeft w:val="288"/>
          <w:marRight w:val="0"/>
          <w:marTop w:val="115"/>
          <w:marBottom w:val="120"/>
          <w:divBdr>
            <w:top w:val="none" w:sz="0" w:space="0" w:color="auto"/>
            <w:left w:val="none" w:sz="0" w:space="0" w:color="auto"/>
            <w:bottom w:val="none" w:sz="0" w:space="0" w:color="auto"/>
            <w:right w:val="none" w:sz="0" w:space="0" w:color="auto"/>
          </w:divBdr>
        </w:div>
        <w:div w:id="791675188">
          <w:marLeft w:val="288"/>
          <w:marRight w:val="0"/>
          <w:marTop w:val="115"/>
          <w:marBottom w:val="120"/>
          <w:divBdr>
            <w:top w:val="none" w:sz="0" w:space="0" w:color="auto"/>
            <w:left w:val="none" w:sz="0" w:space="0" w:color="auto"/>
            <w:bottom w:val="none" w:sz="0" w:space="0" w:color="auto"/>
            <w:right w:val="none" w:sz="0" w:space="0" w:color="auto"/>
          </w:divBdr>
        </w:div>
        <w:div w:id="1793357762">
          <w:marLeft w:val="288"/>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scal.treasury.gov/files/news/eip-operational-faqs-for-financial-industry.pdf" TargetMode="External"/><Relationship Id="rId18" Type="http://schemas.openxmlformats.org/officeDocument/2006/relationships/hyperlink" Target="https://home.treasury.gov/system/files/136/Paycheck-Protection-Program-Frequently-Asked-Question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rs.gov/coronavirus/economic-impact-payment-information-center" TargetMode="External"/><Relationship Id="rId17" Type="http://schemas.openxmlformats.org/officeDocument/2006/relationships/hyperlink" Target="https://www.fdic.gov/news/news/inactivefinancial/1996/fil9604b.html" TargetMode="External"/><Relationship Id="rId2" Type="http://schemas.openxmlformats.org/officeDocument/2006/relationships/customXml" Target="../customXml/item2.xml"/><Relationship Id="rId16" Type="http://schemas.openxmlformats.org/officeDocument/2006/relationships/hyperlink" Target="https://home.treasury.gov/system/files/136/Paycheck-Protection-Program-Frequently-Asked-Question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ongress.gov/bill/116th-congress/house-bill/748/text#HE4E7B1F84B384B0D92459C0BEB5AA857" TargetMode="External"/><Relationship Id="rId10" Type="http://schemas.openxmlformats.org/officeDocument/2006/relationships/endnotes" Target="endnotes.xml"/><Relationship Id="rId19" Type="http://schemas.openxmlformats.org/officeDocument/2006/relationships/hyperlink" Target="https://www.consumerfinance.gov/policy-compliance/rulemaking/regulations/1030/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rs.gov/coronavirus-tax-relief-and-economic-impact-payment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DE892FD28A84B9328AA7DC74B77CA" ma:contentTypeVersion="9" ma:contentTypeDescription="Create a new document." ma:contentTypeScope="" ma:versionID="31661d5a755891ef44d55447421b0575">
  <xsd:schema xmlns:xsd="http://www.w3.org/2001/XMLSchema" xmlns:xs="http://www.w3.org/2001/XMLSchema" xmlns:p="http://schemas.microsoft.com/office/2006/metadata/properties" xmlns:ns2="3f183b37-547b-4333-9d17-f81f6a07c118" xmlns:ns3="2e072765-739a-4c68-9f29-e82875aaf445" targetNamespace="http://schemas.microsoft.com/office/2006/metadata/properties" ma:root="true" ma:fieldsID="8fac5e3ba7e22ab0d496849de31e8d9e" ns2:_="" ns3:_="">
    <xsd:import namespace="3f183b37-547b-4333-9d17-f81f6a07c118"/>
    <xsd:import namespace="2e072765-739a-4c68-9f29-e82875aaf4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83b37-547b-4333-9d17-f81f6a07c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72765-739a-4c68-9f29-e82875aaf4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6D3FD-E9CE-413F-981A-88888E6DA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83b37-547b-4333-9d17-f81f6a07c118"/>
    <ds:schemaRef ds:uri="2e072765-739a-4c68-9f29-e82875aaf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8D8222-9575-4171-A944-7E79B3265E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9EF912-B288-4C63-B70C-605B98898991}">
  <ds:schemaRefs>
    <ds:schemaRef ds:uri="http://schemas.microsoft.com/sharepoint/v3/contenttype/forms"/>
  </ds:schemaRefs>
</ds:datastoreItem>
</file>

<file path=customXml/itemProps4.xml><?xml version="1.0" encoding="utf-8"?>
<ds:datastoreItem xmlns:ds="http://schemas.openxmlformats.org/officeDocument/2006/customXml" ds:itemID="{437AE928-F8D5-4A3C-BC1F-4DE37A9F7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Garcia Maggio</dc:creator>
  <cp:lastModifiedBy>Compliance Alliance</cp:lastModifiedBy>
  <cp:revision>8</cp:revision>
  <dcterms:created xsi:type="dcterms:W3CDTF">2020-05-07T15:35:00Z</dcterms:created>
  <dcterms:modified xsi:type="dcterms:W3CDTF">2020-05-12T18:33:00Z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0x010100EAFDE892FD28A84B9328AA7DC74B77CA</vt:lpwstr>
  </property>
  <property fmtid="{D5CDD505-2E9C-101B-9397-08002B2CF9AE}" pid="3" name="Order">
    <vt:r8>6283400</vt:r8>
  </property>
</Properties>
</file>