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4F2AF" w14:textId="77777777" w:rsidR="001B45FE" w:rsidRPr="001371EF" w:rsidRDefault="00902DAD" w:rsidP="009C110A">
      <w:pPr>
        <w:spacing w:after="0"/>
        <w:rPr>
          <w:rFonts w:ascii="Arial Narrow" w:hAnsi="Arial Narrow"/>
          <w:sz w:val="24"/>
          <w:szCs w:val="24"/>
        </w:rPr>
      </w:pPr>
      <w:r w:rsidRPr="001371EF">
        <w:rPr>
          <w:rFonts w:ascii="Arial Narrow" w:hAnsi="Arial Narrow"/>
          <w:noProof/>
          <w:sz w:val="24"/>
          <w:szCs w:val="24"/>
        </w:rPr>
        <mc:AlternateContent>
          <mc:Choice Requires="wps">
            <w:drawing>
              <wp:anchor distT="0" distB="0" distL="114300" distR="114300" simplePos="0" relativeHeight="251656704" behindDoc="0" locked="0" layoutInCell="1" allowOverlap="1" wp14:anchorId="7C15B4C3" wp14:editId="0CC7991A">
                <wp:simplePos x="0" y="0"/>
                <wp:positionH relativeFrom="column">
                  <wp:posOffset>636270</wp:posOffset>
                </wp:positionH>
                <wp:positionV relativeFrom="paragraph">
                  <wp:posOffset>-41910</wp:posOffset>
                </wp:positionV>
                <wp:extent cx="5421630" cy="1413510"/>
                <wp:effectExtent l="0" t="0" r="13970" b="342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413510"/>
                        </a:xfrm>
                        <a:prstGeom prst="rect">
                          <a:avLst/>
                        </a:prstGeom>
                        <a:solidFill>
                          <a:srgbClr val="FFFFFF"/>
                        </a:solidFill>
                        <a:ln w="9525">
                          <a:solidFill>
                            <a:srgbClr val="FFFFFF"/>
                          </a:solidFill>
                          <a:miter lim="800000"/>
                          <a:headEnd/>
                          <a:tailEnd/>
                        </a:ln>
                      </wps:spPr>
                      <wps:txbx>
                        <w:txbxContent>
                          <w:p w14:paraId="4EB0DA18" w14:textId="71263C51" w:rsidR="000A022E" w:rsidRPr="00A33CC6" w:rsidRDefault="000A022E" w:rsidP="000A47B7">
                            <w:pPr>
                              <w:spacing w:after="0" w:line="240" w:lineRule="auto"/>
                              <w:ind w:left="4320" w:hanging="4320"/>
                              <w:rPr>
                                <w:rFonts w:ascii="Arial Narrow" w:hAnsi="Arial Narrow"/>
                                <w:b/>
                                <w:sz w:val="24"/>
                                <w:szCs w:val="24"/>
                              </w:rPr>
                            </w:pPr>
                            <w:r>
                              <w:rPr>
                                <w:rFonts w:ascii="Arial Narrow" w:hAnsi="Arial Narrow" w:cs="Arial"/>
                                <w:b/>
                                <w:sz w:val="24"/>
                                <w:szCs w:val="24"/>
                              </w:rPr>
                              <w:t xml:space="preserve">COVID-19 TRID and Rescission Interpretive Rule Summary </w:t>
                            </w:r>
                            <w:r>
                              <w:rPr>
                                <w:rFonts w:ascii="Arial Narrow" w:hAnsi="Arial Narrow" w:cs="Arial"/>
                                <w:b/>
                                <w:sz w:val="24"/>
                                <w:szCs w:val="24"/>
                              </w:rPr>
                              <w:tab/>
                            </w:r>
                          </w:p>
                          <w:p w14:paraId="71ABAA53" w14:textId="7FE3DCBA" w:rsidR="000A022E" w:rsidRDefault="000A022E" w:rsidP="00C71CE6">
                            <w:pPr>
                              <w:spacing w:after="0" w:line="240" w:lineRule="auto"/>
                              <w:rPr>
                                <w:rFonts w:ascii="Arial Narrow" w:hAnsi="Arial Narrow" w:cs="Arial"/>
                                <w:b/>
                                <w:sz w:val="24"/>
                                <w:szCs w:val="24"/>
                              </w:rPr>
                            </w:pPr>
                            <w:r w:rsidRPr="001B45FE">
                              <w:rPr>
                                <w:rFonts w:ascii="Arial Narrow" w:hAnsi="Arial Narrow" w:cs="Arial"/>
                                <w:b/>
                                <w:sz w:val="24"/>
                                <w:szCs w:val="24"/>
                              </w:rPr>
                              <w:t xml:space="preserve">ACTION: </w:t>
                            </w:r>
                            <w:r>
                              <w:rPr>
                                <w:rFonts w:ascii="Arial Narrow" w:hAnsi="Arial Narrow" w:cs="Arial"/>
                                <w:b/>
                                <w:sz w:val="24"/>
                                <w:szCs w:val="24"/>
                              </w:rPr>
                              <w:t>Interpretive Rule</w:t>
                            </w:r>
                          </w:p>
                          <w:p w14:paraId="61B229A9" w14:textId="3A39774D" w:rsidR="000A022E" w:rsidRPr="001B45FE" w:rsidRDefault="000A022E" w:rsidP="00C71CE6">
                            <w:pPr>
                              <w:spacing w:after="0" w:line="240" w:lineRule="auto"/>
                              <w:rPr>
                                <w:rFonts w:ascii="Arial Narrow" w:hAnsi="Arial Narrow" w:cs="Arial"/>
                                <w:b/>
                                <w:sz w:val="24"/>
                                <w:szCs w:val="24"/>
                              </w:rPr>
                            </w:pPr>
                            <w:r>
                              <w:rPr>
                                <w:rFonts w:ascii="Arial Narrow" w:hAnsi="Arial Narrow" w:cs="Arial"/>
                                <w:b/>
                                <w:sz w:val="24"/>
                                <w:szCs w:val="24"/>
                              </w:rPr>
                              <w:t>Effective Date: May 4, 2020</w:t>
                            </w:r>
                          </w:p>
                          <w:p w14:paraId="0AF52DD0" w14:textId="67B9AB5B" w:rsidR="000A022E" w:rsidRDefault="000A022E" w:rsidP="00CD2196">
                            <w:pPr>
                              <w:spacing w:after="0" w:line="240" w:lineRule="auto"/>
                              <w:rPr>
                                <w:rFonts w:ascii="Arial Narrow" w:hAnsi="Arial Narrow" w:cs="Arial"/>
                                <w:sz w:val="24"/>
                                <w:szCs w:val="24"/>
                              </w:rPr>
                            </w:pPr>
                            <w:r w:rsidRPr="001B45FE">
                              <w:rPr>
                                <w:rFonts w:ascii="Arial Narrow" w:hAnsi="Arial Narrow" w:cs="Arial"/>
                                <w:b/>
                                <w:sz w:val="24"/>
                                <w:szCs w:val="24"/>
                              </w:rPr>
                              <w:t>References:</w:t>
                            </w:r>
                            <w:r w:rsidRPr="001B45FE">
                              <w:rPr>
                                <w:rFonts w:ascii="Arial Narrow" w:hAnsi="Arial Narrow" w:cs="Arial"/>
                                <w:sz w:val="24"/>
                                <w:szCs w:val="24"/>
                              </w:rPr>
                              <w:t xml:space="preserve"> </w:t>
                            </w:r>
                          </w:p>
                          <w:p w14:paraId="4419B36B" w14:textId="77777777" w:rsidR="000A022E" w:rsidRDefault="000A022E" w:rsidP="00D13E1B">
                            <w:pPr>
                              <w:rPr>
                                <w:rFonts w:eastAsia="Times New Roman"/>
                              </w:rPr>
                            </w:pPr>
                            <w:hyperlink r:id="rId9" w:history="1">
                              <w:r>
                                <w:rPr>
                                  <w:rStyle w:val="Hyperlink"/>
                                  <w:rFonts w:eastAsia="Times New Roman"/>
                                </w:rPr>
                                <w:t>https://www.federalregister.gov/documents/2020/05/04/2020-09515/application-of-certain-provisions-in-the-tila-respa-integrated-disclosure-rule-and-regulation-z</w:t>
                              </w:r>
                            </w:hyperlink>
                          </w:p>
                          <w:p w14:paraId="58EFA616" w14:textId="77777777" w:rsidR="000A022E" w:rsidRDefault="000A022E" w:rsidP="00CD2196">
                            <w:pPr>
                              <w:spacing w:after="0" w:line="240" w:lineRule="auto"/>
                            </w:pPr>
                          </w:p>
                          <w:p w14:paraId="7AEB29E0" w14:textId="1C0C998A" w:rsidR="000A022E" w:rsidRDefault="000A022E" w:rsidP="009F6C09">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0.1pt;margin-top:-3.25pt;width:426.9pt;height:1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" strokecolor="white">
                <v:textbox>
                  <w:txbxContent>
                    <w:p w14:paraId="4EB0DA18" w14:textId="71263C51" w:rsidR="000A022E" w:rsidRPr="00A33CC6" w:rsidRDefault="000A022E" w:rsidP="000A47B7">
                      <w:pPr>
                        <w:spacing w:after="0" w:line="240" w:lineRule="auto"/>
                        <w:ind w:left="4320" w:hanging="4320"/>
                        <w:rPr>
                          <w:rFonts w:ascii="Arial Narrow" w:hAnsi="Arial Narrow"/>
                          <w:b/>
                          <w:sz w:val="24"/>
                          <w:szCs w:val="24"/>
                        </w:rPr>
                      </w:pPr>
                      <w:r>
                        <w:rPr>
                          <w:rFonts w:ascii="Arial Narrow" w:hAnsi="Arial Narrow" w:cs="Arial"/>
                          <w:b/>
                          <w:sz w:val="24"/>
                          <w:szCs w:val="24"/>
                        </w:rPr>
                        <w:t xml:space="preserve">COVID-19 TRID and Rescission Interpretive Rule Summary </w:t>
                      </w:r>
                      <w:r>
                        <w:rPr>
                          <w:rFonts w:ascii="Arial Narrow" w:hAnsi="Arial Narrow" w:cs="Arial"/>
                          <w:b/>
                          <w:sz w:val="24"/>
                          <w:szCs w:val="24"/>
                        </w:rPr>
                        <w:tab/>
                      </w:r>
                    </w:p>
                    <w:p w14:paraId="71ABAA53" w14:textId="7FE3DCBA" w:rsidR="000A022E" w:rsidRDefault="000A022E" w:rsidP="00C71CE6">
                      <w:pPr>
                        <w:spacing w:after="0" w:line="240" w:lineRule="auto"/>
                        <w:rPr>
                          <w:rFonts w:ascii="Arial Narrow" w:hAnsi="Arial Narrow" w:cs="Arial"/>
                          <w:b/>
                          <w:sz w:val="24"/>
                          <w:szCs w:val="24"/>
                        </w:rPr>
                      </w:pPr>
                      <w:r w:rsidRPr="001B45FE">
                        <w:rPr>
                          <w:rFonts w:ascii="Arial Narrow" w:hAnsi="Arial Narrow" w:cs="Arial"/>
                          <w:b/>
                          <w:sz w:val="24"/>
                          <w:szCs w:val="24"/>
                        </w:rPr>
                        <w:t xml:space="preserve">ACTION: </w:t>
                      </w:r>
                      <w:r>
                        <w:rPr>
                          <w:rFonts w:ascii="Arial Narrow" w:hAnsi="Arial Narrow" w:cs="Arial"/>
                          <w:b/>
                          <w:sz w:val="24"/>
                          <w:szCs w:val="24"/>
                        </w:rPr>
                        <w:t>Interpretive Rule</w:t>
                      </w:r>
                    </w:p>
                    <w:p w14:paraId="61B229A9" w14:textId="3A39774D" w:rsidR="000A022E" w:rsidRPr="001B45FE" w:rsidRDefault="000A022E" w:rsidP="00C71CE6">
                      <w:pPr>
                        <w:spacing w:after="0" w:line="240" w:lineRule="auto"/>
                        <w:rPr>
                          <w:rFonts w:ascii="Arial Narrow" w:hAnsi="Arial Narrow" w:cs="Arial"/>
                          <w:b/>
                          <w:sz w:val="24"/>
                          <w:szCs w:val="24"/>
                        </w:rPr>
                      </w:pPr>
                      <w:r>
                        <w:rPr>
                          <w:rFonts w:ascii="Arial Narrow" w:hAnsi="Arial Narrow" w:cs="Arial"/>
                          <w:b/>
                          <w:sz w:val="24"/>
                          <w:szCs w:val="24"/>
                        </w:rPr>
                        <w:t>Effective Date: May 4, 2020</w:t>
                      </w:r>
                    </w:p>
                    <w:p w14:paraId="0AF52DD0" w14:textId="67B9AB5B" w:rsidR="000A022E" w:rsidRDefault="000A022E" w:rsidP="00CD2196">
                      <w:pPr>
                        <w:spacing w:after="0" w:line="240" w:lineRule="auto"/>
                        <w:rPr>
                          <w:rFonts w:ascii="Arial Narrow" w:hAnsi="Arial Narrow" w:cs="Arial"/>
                          <w:sz w:val="24"/>
                          <w:szCs w:val="24"/>
                        </w:rPr>
                      </w:pPr>
                      <w:r w:rsidRPr="001B45FE">
                        <w:rPr>
                          <w:rFonts w:ascii="Arial Narrow" w:hAnsi="Arial Narrow" w:cs="Arial"/>
                          <w:b/>
                          <w:sz w:val="24"/>
                          <w:szCs w:val="24"/>
                        </w:rPr>
                        <w:t>References:</w:t>
                      </w:r>
                      <w:r w:rsidRPr="001B45FE">
                        <w:rPr>
                          <w:rFonts w:ascii="Arial Narrow" w:hAnsi="Arial Narrow" w:cs="Arial"/>
                          <w:sz w:val="24"/>
                          <w:szCs w:val="24"/>
                        </w:rPr>
                        <w:t xml:space="preserve"> </w:t>
                      </w:r>
                    </w:p>
                    <w:p w14:paraId="4419B36B" w14:textId="77777777" w:rsidR="000A022E" w:rsidRDefault="000A022E" w:rsidP="00D13E1B">
                      <w:pPr>
                        <w:rPr>
                          <w:rFonts w:eastAsia="Times New Roman"/>
                        </w:rPr>
                      </w:pPr>
                      <w:hyperlink r:id="rId10" w:history="1">
                        <w:r>
                          <w:rPr>
                            <w:rStyle w:val="Hyperlink"/>
                            <w:rFonts w:eastAsia="Times New Roman"/>
                          </w:rPr>
                          <w:t>https://www.federalregister.gov/documents/2020/05/04/2020-09515/application-of-certain-provisions-in-the-tila-respa-integrated-disclosure-rule-and-regulation-z</w:t>
                        </w:r>
                      </w:hyperlink>
                    </w:p>
                    <w:p w14:paraId="58EFA616" w14:textId="77777777" w:rsidR="000A022E" w:rsidRDefault="000A022E" w:rsidP="00CD2196">
                      <w:pPr>
                        <w:spacing w:after="0" w:line="240" w:lineRule="auto"/>
                      </w:pPr>
                    </w:p>
                    <w:p w14:paraId="7AEB29E0" w14:textId="1C0C998A" w:rsidR="000A022E" w:rsidRDefault="000A022E" w:rsidP="009F6C09">
                      <w:pPr>
                        <w:spacing w:after="0" w:line="240" w:lineRule="auto"/>
                      </w:pPr>
                    </w:p>
                  </w:txbxContent>
                </v:textbox>
              </v:shape>
            </w:pict>
          </mc:Fallback>
        </mc:AlternateContent>
      </w:r>
      <w:r w:rsidRPr="001371EF">
        <w:rPr>
          <w:rFonts w:ascii="Arial Narrow" w:hAnsi="Arial Narrow"/>
          <w:noProof/>
          <w:sz w:val="24"/>
          <w:szCs w:val="24"/>
        </w:rPr>
        <w:drawing>
          <wp:inline distT="0" distB="0" distL="0" distR="0" wp14:anchorId="7C79045C" wp14:editId="49A94471">
            <wp:extent cx="572770" cy="567055"/>
            <wp:effectExtent l="0" t="0" r="1143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 cy="567055"/>
                    </a:xfrm>
                    <a:prstGeom prst="rect">
                      <a:avLst/>
                    </a:prstGeom>
                    <a:noFill/>
                  </pic:spPr>
                </pic:pic>
              </a:graphicData>
            </a:graphic>
          </wp:inline>
        </w:drawing>
      </w:r>
    </w:p>
    <w:p w14:paraId="126F104C" w14:textId="77777777" w:rsidR="001B45FE" w:rsidRPr="001371EF" w:rsidRDefault="001B45FE" w:rsidP="009C110A">
      <w:pPr>
        <w:spacing w:after="0"/>
        <w:rPr>
          <w:rFonts w:ascii="Arial Narrow" w:hAnsi="Arial Narrow"/>
          <w:sz w:val="24"/>
          <w:szCs w:val="24"/>
        </w:rPr>
      </w:pPr>
    </w:p>
    <w:p w14:paraId="49D0FC97" w14:textId="77777777" w:rsidR="001B45FE" w:rsidRPr="001371EF" w:rsidRDefault="001B45FE" w:rsidP="009C110A">
      <w:pPr>
        <w:spacing w:after="0"/>
        <w:rPr>
          <w:rFonts w:ascii="Arial Narrow" w:hAnsi="Arial Narrow"/>
          <w:sz w:val="24"/>
          <w:szCs w:val="24"/>
        </w:rPr>
      </w:pPr>
    </w:p>
    <w:p w14:paraId="160369A1" w14:textId="77777777" w:rsidR="000A47B7" w:rsidRPr="001371EF" w:rsidRDefault="000A47B7" w:rsidP="009C110A">
      <w:pPr>
        <w:spacing w:after="0"/>
        <w:rPr>
          <w:rFonts w:ascii="Arial Narrow" w:hAnsi="Arial Narrow"/>
          <w:sz w:val="24"/>
          <w:szCs w:val="24"/>
        </w:rPr>
      </w:pPr>
    </w:p>
    <w:p w14:paraId="2D7AD93A" w14:textId="4F4253EB" w:rsidR="009C110A" w:rsidRPr="001371EF" w:rsidRDefault="00902DAD" w:rsidP="00E367DC">
      <w:pPr>
        <w:spacing w:after="0"/>
        <w:rPr>
          <w:rFonts w:ascii="Arial Narrow" w:hAnsi="Arial Narrow"/>
          <w:sz w:val="24"/>
          <w:szCs w:val="24"/>
        </w:rPr>
      </w:pPr>
      <w:r w:rsidRPr="001371EF">
        <w:rPr>
          <w:rFonts w:ascii="Arial Narrow" w:hAnsi="Arial Narrow"/>
          <w:noProof/>
          <w:sz w:val="24"/>
          <w:szCs w:val="24"/>
        </w:rPr>
        <mc:AlternateContent>
          <mc:Choice Requires="wps">
            <w:drawing>
              <wp:anchor distT="0" distB="0" distL="114300" distR="114300" simplePos="0" relativeHeight="251657728" behindDoc="0" locked="0" layoutInCell="1" allowOverlap="1" wp14:anchorId="7DB3892D" wp14:editId="6BA2734A">
                <wp:simplePos x="0" y="0"/>
                <wp:positionH relativeFrom="column">
                  <wp:posOffset>-25400</wp:posOffset>
                </wp:positionH>
                <wp:positionV relativeFrom="paragraph">
                  <wp:posOffset>132080</wp:posOffset>
                </wp:positionV>
                <wp:extent cx="6123305" cy="5080"/>
                <wp:effectExtent l="12700" t="17780" r="23495" b="2794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330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 o:spid="_x0000_s1026" type="#_x0000_t32" style="position:absolute;margin-left:-1.95pt;margin-top:10.4pt;width:482.15pt;height:.4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"/>
            </w:pict>
          </mc:Fallback>
        </mc:AlternateContent>
      </w:r>
    </w:p>
    <w:p w14:paraId="5CEC44A2" w14:textId="77777777" w:rsidR="00C71CE6" w:rsidRPr="001371EF" w:rsidRDefault="00C71CE6" w:rsidP="009C110A">
      <w:pPr>
        <w:spacing w:after="0"/>
        <w:jc w:val="both"/>
        <w:rPr>
          <w:rFonts w:ascii="Arial Narrow" w:hAnsi="Arial Narrow" w:cs="Arial"/>
          <w:b/>
          <w:color w:val="218649"/>
          <w:sz w:val="24"/>
          <w:szCs w:val="24"/>
        </w:rPr>
      </w:pPr>
      <w:r w:rsidRPr="001371EF">
        <w:rPr>
          <w:rFonts w:ascii="Arial Narrow" w:hAnsi="Arial Narrow" w:cs="Arial"/>
          <w:b/>
          <w:color w:val="218649"/>
          <w:sz w:val="24"/>
          <w:szCs w:val="24"/>
        </w:rPr>
        <w:t>Overview</w:t>
      </w:r>
    </w:p>
    <w:p w14:paraId="218B395F" w14:textId="29142607" w:rsidR="007802EE" w:rsidRPr="001371EF" w:rsidRDefault="00944663" w:rsidP="005124A1">
      <w:pPr>
        <w:contextualSpacing/>
        <w:rPr>
          <w:rFonts w:ascii="Arial Narrow" w:eastAsia="Times New Roman" w:hAnsi="Arial Narrow"/>
          <w:sz w:val="24"/>
          <w:szCs w:val="24"/>
        </w:rPr>
      </w:pPr>
      <w:r w:rsidRPr="005124A1">
        <w:rPr>
          <w:rFonts w:ascii="Arial Narrow" w:eastAsia="Times New Roman" w:hAnsi="Arial Narrow" w:cs="Arial"/>
          <w:sz w:val="24"/>
          <w:szCs w:val="24"/>
        </w:rPr>
        <w:t xml:space="preserve">The Bureau of Consumer Financial Protection (“CFPB”) issued this </w:t>
      </w:r>
      <w:r w:rsidR="000A47B7" w:rsidRPr="005124A1">
        <w:rPr>
          <w:rFonts w:ascii="Arial Narrow" w:eastAsia="Times New Roman" w:hAnsi="Arial Narrow" w:cs="Arial"/>
          <w:sz w:val="24"/>
          <w:szCs w:val="24"/>
        </w:rPr>
        <w:t>interpretive</w:t>
      </w:r>
      <w:r w:rsidRPr="005124A1">
        <w:rPr>
          <w:rFonts w:ascii="Arial Narrow" w:eastAsia="Times New Roman" w:hAnsi="Arial Narrow" w:cs="Arial"/>
          <w:sz w:val="24"/>
          <w:szCs w:val="24"/>
        </w:rPr>
        <w:t xml:space="preserve"> rule</w:t>
      </w:r>
      <w:r w:rsidR="000A47B7" w:rsidRPr="005124A1">
        <w:rPr>
          <w:rFonts w:ascii="Arial Narrow" w:eastAsia="Times New Roman" w:hAnsi="Arial Narrow" w:cs="Arial"/>
          <w:sz w:val="24"/>
          <w:szCs w:val="24"/>
        </w:rPr>
        <w:t xml:space="preserve"> clarifying </w:t>
      </w:r>
      <w:r w:rsidR="000A47B7" w:rsidRPr="005124A1">
        <w:rPr>
          <w:rFonts w:ascii="Arial Narrow" w:eastAsia="Times New Roman" w:hAnsi="Arial Narrow"/>
          <w:sz w:val="24"/>
          <w:szCs w:val="24"/>
        </w:rPr>
        <w:t xml:space="preserve">the application of certain provisions in the TILA-RESPA Integrated Disclosure (TRID) Rule and Regulation Z’s right of rescission rules (Rescission Rules) in light of the COVID-19 pandemic. </w:t>
      </w:r>
      <w:r w:rsidR="005124A1" w:rsidRPr="005124A1">
        <w:rPr>
          <w:rFonts w:ascii="Arial Narrow" w:eastAsia="Times New Roman" w:hAnsi="Arial Narrow"/>
          <w:sz w:val="24"/>
          <w:szCs w:val="24"/>
        </w:rPr>
        <w:t>As an interpretive rule it</w:t>
      </w:r>
      <w:r w:rsidR="005124A1" w:rsidRPr="005124A1">
        <w:rPr>
          <w:rFonts w:ascii="Arial Narrow" w:eastAsia="Times New Roman" w:hAnsi="Arial Narrow"/>
          <w:sz w:val="24"/>
          <w:szCs w:val="24"/>
        </w:rPr>
        <w:t xml:space="preserve"> doesn’t impose new or change existing substantive requirements; rather, it interprets the law set out in </w:t>
      </w:r>
      <w:r w:rsidR="005124A1" w:rsidRPr="005124A1">
        <w:rPr>
          <w:rFonts w:ascii="Arial Narrow" w:eastAsia="Times New Roman" w:hAnsi="Arial Narrow"/>
          <w:sz w:val="24"/>
          <w:szCs w:val="24"/>
        </w:rPr>
        <w:t>the TRID and Rescission Rules.</w:t>
      </w:r>
      <w:r w:rsidR="005124A1">
        <w:rPr>
          <w:rFonts w:ascii="Arial Narrow" w:eastAsia="Times New Roman" w:hAnsi="Arial Narrow"/>
          <w:sz w:val="24"/>
          <w:szCs w:val="24"/>
        </w:rPr>
        <w:t xml:space="preserve"> </w:t>
      </w:r>
      <w:r w:rsidR="00D21175" w:rsidRPr="001371EF">
        <w:rPr>
          <w:rFonts w:ascii="Arial Narrow" w:eastAsia="Times New Roman" w:hAnsi="Arial Narrow"/>
          <w:sz w:val="24"/>
          <w:szCs w:val="24"/>
        </w:rPr>
        <w:t xml:space="preserve">The CFPB concluded </w:t>
      </w:r>
      <w:r w:rsidR="007404A0" w:rsidRPr="001371EF">
        <w:rPr>
          <w:rFonts w:ascii="Arial Narrow" w:eastAsia="Times New Roman" w:hAnsi="Arial Narrow"/>
          <w:sz w:val="24"/>
          <w:szCs w:val="24"/>
        </w:rPr>
        <w:t xml:space="preserve">that if a consumer determines that </w:t>
      </w:r>
      <w:r w:rsidR="00D21175" w:rsidRPr="001371EF">
        <w:rPr>
          <w:rFonts w:ascii="Arial Narrow" w:eastAsia="Times New Roman" w:hAnsi="Arial Narrow"/>
          <w:sz w:val="24"/>
          <w:szCs w:val="24"/>
        </w:rPr>
        <w:t xml:space="preserve">their </w:t>
      </w:r>
      <w:r w:rsidR="007404A0" w:rsidRPr="001371EF">
        <w:rPr>
          <w:rFonts w:ascii="Arial Narrow" w:eastAsia="Times New Roman" w:hAnsi="Arial Narrow"/>
          <w:sz w:val="24"/>
          <w:szCs w:val="24"/>
        </w:rPr>
        <w:t>need to obtain funds due to the COVID-19 pandemic necessitates consummating the transaction before the end of the TRID</w:t>
      </w:r>
      <w:r w:rsidR="00D21175" w:rsidRPr="001371EF">
        <w:rPr>
          <w:rFonts w:ascii="Arial Narrow" w:eastAsia="Times New Roman" w:hAnsi="Arial Narrow"/>
          <w:sz w:val="24"/>
          <w:szCs w:val="24"/>
        </w:rPr>
        <w:t xml:space="preserve"> Rule</w:t>
      </w:r>
      <w:r w:rsidR="007404A0" w:rsidRPr="001371EF">
        <w:rPr>
          <w:rFonts w:ascii="Arial Narrow" w:eastAsia="Times New Roman" w:hAnsi="Arial Narrow"/>
          <w:sz w:val="24"/>
          <w:szCs w:val="24"/>
        </w:rPr>
        <w:t xml:space="preserve"> waiting periods or must be met before the end of the Rescission Rules waiting period, then the consumer has a bona fide personal financial emergency. The </w:t>
      </w:r>
      <w:r w:rsidR="00D21175" w:rsidRPr="001371EF">
        <w:rPr>
          <w:rFonts w:ascii="Arial Narrow" w:eastAsia="Times New Roman" w:hAnsi="Arial Narrow"/>
          <w:sz w:val="24"/>
          <w:szCs w:val="24"/>
        </w:rPr>
        <w:t xml:space="preserve">CFBP also concluded </w:t>
      </w:r>
      <w:r w:rsidR="007404A0" w:rsidRPr="001371EF">
        <w:rPr>
          <w:rFonts w:ascii="Arial Narrow" w:eastAsia="Times New Roman" w:hAnsi="Arial Narrow"/>
          <w:sz w:val="24"/>
          <w:szCs w:val="24"/>
        </w:rPr>
        <w:t>that the COVID-19 pandemic is a “changed circumstance” for purposes of certain TRID Rule provisions</w:t>
      </w:r>
      <w:r w:rsidR="0042305C" w:rsidRPr="001371EF">
        <w:rPr>
          <w:rFonts w:ascii="Arial Narrow" w:eastAsia="Times New Roman" w:hAnsi="Arial Narrow"/>
          <w:sz w:val="24"/>
          <w:szCs w:val="24"/>
        </w:rPr>
        <w:t>.</w:t>
      </w:r>
    </w:p>
    <w:p w14:paraId="0FEA027F" w14:textId="77777777" w:rsidR="00D21175" w:rsidRDefault="00D21175" w:rsidP="00E367DC">
      <w:pPr>
        <w:spacing w:after="0"/>
        <w:contextualSpacing/>
        <w:jc w:val="both"/>
        <w:rPr>
          <w:rFonts w:ascii="Arial Narrow" w:hAnsi="Arial Narrow" w:cs="Arial"/>
          <w:b/>
          <w:color w:val="22862A"/>
          <w:sz w:val="24"/>
          <w:szCs w:val="24"/>
        </w:rPr>
      </w:pPr>
    </w:p>
    <w:p w14:paraId="37966CB4" w14:textId="77777777" w:rsidR="00E367DC" w:rsidRPr="001371EF" w:rsidRDefault="00E367DC" w:rsidP="00E367DC">
      <w:pPr>
        <w:spacing w:after="0"/>
        <w:contextualSpacing/>
        <w:jc w:val="both"/>
        <w:rPr>
          <w:rFonts w:ascii="Arial Narrow" w:hAnsi="Arial Narrow" w:cs="Arial"/>
          <w:b/>
          <w:color w:val="22862A"/>
          <w:sz w:val="24"/>
          <w:szCs w:val="24"/>
        </w:rPr>
      </w:pPr>
    </w:p>
    <w:p w14:paraId="1A42196C" w14:textId="4607DD73" w:rsidR="005F7C22" w:rsidRPr="001371EF" w:rsidRDefault="005F7C22" w:rsidP="005F7C22">
      <w:pPr>
        <w:spacing w:after="0"/>
        <w:contextualSpacing/>
        <w:jc w:val="both"/>
        <w:rPr>
          <w:rFonts w:ascii="Arial Narrow" w:hAnsi="Arial Narrow" w:cs="Arial"/>
          <w:b/>
          <w:color w:val="22862A"/>
          <w:sz w:val="24"/>
          <w:szCs w:val="24"/>
        </w:rPr>
      </w:pPr>
      <w:r w:rsidRPr="001371EF">
        <w:rPr>
          <w:rFonts w:ascii="Arial Narrow" w:hAnsi="Arial Narrow" w:cs="Arial"/>
          <w:b/>
          <w:color w:val="22862A"/>
          <w:sz w:val="24"/>
          <w:szCs w:val="24"/>
        </w:rPr>
        <w:t>Background</w:t>
      </w:r>
    </w:p>
    <w:p w14:paraId="2E858C27" w14:textId="267DE1FD" w:rsidR="005D0436" w:rsidRDefault="00DC6468" w:rsidP="00E367DC">
      <w:pPr>
        <w:contextualSpacing/>
        <w:rPr>
          <w:rFonts w:ascii="Arial Narrow" w:eastAsia="Times New Roman" w:hAnsi="Arial Narrow"/>
          <w:sz w:val="24"/>
          <w:szCs w:val="24"/>
        </w:rPr>
      </w:pPr>
      <w:r w:rsidRPr="001371EF">
        <w:rPr>
          <w:rFonts w:ascii="Arial Narrow" w:eastAsia="Times New Roman" w:hAnsi="Arial Narrow" w:cs="Arial"/>
          <w:sz w:val="24"/>
          <w:szCs w:val="24"/>
        </w:rPr>
        <w:t>Both the TRID and Rescission Rules have disclosure requirements as well as corresponding waiting periods. While the</w:t>
      </w:r>
      <w:r w:rsidR="00491B2D" w:rsidRPr="001371EF">
        <w:rPr>
          <w:rFonts w:ascii="Arial Narrow" w:eastAsia="Times New Roman" w:hAnsi="Arial Narrow" w:cs="Arial"/>
          <w:sz w:val="24"/>
          <w:szCs w:val="24"/>
        </w:rPr>
        <w:t>se</w:t>
      </w:r>
      <w:r w:rsidRPr="001371EF">
        <w:rPr>
          <w:rFonts w:ascii="Arial Narrow" w:eastAsia="Times New Roman" w:hAnsi="Arial Narrow" w:cs="Arial"/>
          <w:sz w:val="24"/>
          <w:szCs w:val="24"/>
        </w:rPr>
        <w:t xml:space="preserve"> rules facilitate prudent consumer decision-making, </w:t>
      </w:r>
      <w:r w:rsidR="00DA5B88" w:rsidRPr="001371EF">
        <w:rPr>
          <w:rFonts w:ascii="Arial Narrow" w:eastAsia="Times New Roman" w:hAnsi="Arial Narrow" w:cs="Arial"/>
          <w:sz w:val="24"/>
          <w:szCs w:val="24"/>
        </w:rPr>
        <w:t>a waiting period</w:t>
      </w:r>
      <w:r w:rsidRPr="001371EF">
        <w:rPr>
          <w:rFonts w:ascii="Arial Narrow" w:eastAsia="Times New Roman" w:hAnsi="Arial Narrow" w:cs="Arial"/>
          <w:sz w:val="24"/>
          <w:szCs w:val="24"/>
        </w:rPr>
        <w:t xml:space="preserve"> may </w:t>
      </w:r>
      <w:r w:rsidRPr="001371EF">
        <w:rPr>
          <w:rFonts w:ascii="Arial Narrow" w:eastAsia="Times New Roman" w:hAnsi="Arial Narrow"/>
          <w:sz w:val="24"/>
          <w:szCs w:val="24"/>
        </w:rPr>
        <w:t>result in delay in the transactions of some consumers seeking to respond to emergency conditions.</w:t>
      </w:r>
      <w:r w:rsidR="0083306C" w:rsidRPr="001371EF">
        <w:rPr>
          <w:rFonts w:ascii="Arial Narrow" w:eastAsia="Times New Roman" w:hAnsi="Arial Narrow"/>
          <w:sz w:val="24"/>
          <w:szCs w:val="24"/>
        </w:rPr>
        <w:t xml:space="preserve"> </w:t>
      </w:r>
      <w:r w:rsidR="001371EF">
        <w:rPr>
          <w:rFonts w:ascii="Arial Narrow" w:eastAsia="Times New Roman" w:hAnsi="Arial Narrow"/>
          <w:sz w:val="24"/>
          <w:szCs w:val="24"/>
        </w:rPr>
        <w:t>B</w:t>
      </w:r>
      <w:r w:rsidR="005D0436" w:rsidRPr="001371EF">
        <w:rPr>
          <w:rFonts w:ascii="Arial Narrow" w:eastAsia="Times New Roman" w:hAnsi="Arial Narrow"/>
          <w:sz w:val="24"/>
          <w:szCs w:val="24"/>
        </w:rPr>
        <w:t>oth the TRID Rule and Rescission Rules include provisions</w:t>
      </w:r>
      <w:r w:rsidR="00815BE4" w:rsidRPr="001371EF">
        <w:rPr>
          <w:rFonts w:ascii="Arial Narrow" w:eastAsia="Times New Roman" w:hAnsi="Arial Narrow"/>
          <w:sz w:val="24"/>
          <w:szCs w:val="24"/>
        </w:rPr>
        <w:t>,</w:t>
      </w:r>
      <w:r w:rsidR="005D0436" w:rsidRPr="001371EF">
        <w:rPr>
          <w:rFonts w:ascii="Arial Narrow" w:eastAsia="Times New Roman" w:hAnsi="Arial Narrow"/>
          <w:sz w:val="24"/>
          <w:szCs w:val="24"/>
        </w:rPr>
        <w:t xml:space="preserve"> intended to provide regulatory flexibi</w:t>
      </w:r>
      <w:r w:rsidR="00DA5B88" w:rsidRPr="001371EF">
        <w:rPr>
          <w:rFonts w:ascii="Arial Narrow" w:eastAsia="Times New Roman" w:hAnsi="Arial Narrow"/>
          <w:sz w:val="24"/>
          <w:szCs w:val="24"/>
        </w:rPr>
        <w:t xml:space="preserve">lity in certain circumstances. </w:t>
      </w:r>
    </w:p>
    <w:p w14:paraId="50FF5EDA" w14:textId="77777777" w:rsidR="001371EF" w:rsidRDefault="001371EF" w:rsidP="00E367DC">
      <w:pPr>
        <w:contextualSpacing/>
        <w:rPr>
          <w:rFonts w:ascii="Arial Narrow" w:eastAsia="Times New Roman" w:hAnsi="Arial Narrow"/>
          <w:sz w:val="24"/>
          <w:szCs w:val="24"/>
        </w:rPr>
      </w:pPr>
    </w:p>
    <w:p w14:paraId="4899CC60" w14:textId="77777777" w:rsidR="00E367DC" w:rsidRPr="001371EF" w:rsidRDefault="00E367DC" w:rsidP="00E367DC">
      <w:pPr>
        <w:contextualSpacing/>
        <w:rPr>
          <w:rFonts w:ascii="Arial Narrow" w:eastAsia="Times New Roman" w:hAnsi="Arial Narrow"/>
          <w:sz w:val="24"/>
          <w:szCs w:val="24"/>
        </w:rPr>
      </w:pPr>
    </w:p>
    <w:p w14:paraId="4EADCE0E" w14:textId="1FE019CF" w:rsidR="009F6C09" w:rsidRPr="001371EF" w:rsidRDefault="00590BFC" w:rsidP="00E367DC">
      <w:pPr>
        <w:spacing w:after="0"/>
        <w:contextualSpacing/>
        <w:jc w:val="both"/>
        <w:rPr>
          <w:rFonts w:ascii="Arial Narrow" w:hAnsi="Arial Narrow" w:cs="Arial"/>
          <w:b/>
          <w:color w:val="22862A"/>
          <w:sz w:val="24"/>
          <w:szCs w:val="24"/>
        </w:rPr>
      </w:pPr>
      <w:r w:rsidRPr="001371EF">
        <w:rPr>
          <w:rFonts w:ascii="Arial Narrow" w:hAnsi="Arial Narrow" w:cs="Arial"/>
          <w:b/>
          <w:color w:val="22862A"/>
          <w:sz w:val="24"/>
          <w:szCs w:val="24"/>
        </w:rPr>
        <w:t>Bona Fide Financial Emergency</w:t>
      </w:r>
    </w:p>
    <w:p w14:paraId="56FDD27F" w14:textId="0FDF9111" w:rsidR="007D649E" w:rsidRPr="007D649E" w:rsidRDefault="00C962AC" w:rsidP="007D649E">
      <w:pPr>
        <w:rPr>
          <w:rFonts w:ascii="Arial Narrow" w:eastAsia="Times New Roman" w:hAnsi="Arial Narrow"/>
          <w:sz w:val="24"/>
          <w:szCs w:val="24"/>
        </w:rPr>
      </w:pPr>
      <w:r w:rsidRPr="007D649E">
        <w:rPr>
          <w:rFonts w:ascii="Arial Narrow" w:eastAsia="Times New Roman" w:hAnsi="Arial Narrow"/>
          <w:sz w:val="24"/>
          <w:szCs w:val="24"/>
        </w:rPr>
        <w:t xml:space="preserve">Under </w:t>
      </w:r>
      <w:r w:rsidR="00243D56" w:rsidRPr="007D649E">
        <w:rPr>
          <w:rFonts w:ascii="Arial Narrow" w:eastAsia="Times New Roman" w:hAnsi="Arial Narrow"/>
          <w:sz w:val="24"/>
          <w:szCs w:val="24"/>
        </w:rPr>
        <w:t xml:space="preserve">both </w:t>
      </w:r>
      <w:r w:rsidRPr="007D649E">
        <w:rPr>
          <w:rFonts w:ascii="Arial Narrow" w:eastAsia="Times New Roman" w:hAnsi="Arial Narrow"/>
          <w:sz w:val="24"/>
          <w:szCs w:val="24"/>
        </w:rPr>
        <w:t xml:space="preserve">the TRID and Rescission Rules, a consumer may modify or waive </w:t>
      </w:r>
      <w:r w:rsidR="00243D56" w:rsidRPr="007D649E">
        <w:rPr>
          <w:rFonts w:ascii="Arial Narrow" w:eastAsia="Times New Roman" w:hAnsi="Arial Narrow"/>
          <w:sz w:val="24"/>
          <w:szCs w:val="24"/>
        </w:rPr>
        <w:t>the corresponding</w:t>
      </w:r>
      <w:r w:rsidRPr="007D649E">
        <w:rPr>
          <w:rFonts w:ascii="Arial Narrow" w:eastAsia="Times New Roman" w:hAnsi="Arial Narrow"/>
          <w:sz w:val="24"/>
          <w:szCs w:val="24"/>
        </w:rPr>
        <w:t xml:space="preserve"> waiting periods if the consumer determines that </w:t>
      </w:r>
      <w:r w:rsidR="00243D56" w:rsidRPr="007D649E">
        <w:rPr>
          <w:rFonts w:ascii="Arial Narrow" w:eastAsia="Times New Roman" w:hAnsi="Arial Narrow"/>
          <w:sz w:val="24"/>
          <w:szCs w:val="24"/>
        </w:rPr>
        <w:t>they</w:t>
      </w:r>
      <w:r w:rsidRPr="007D649E">
        <w:rPr>
          <w:rFonts w:ascii="Arial Narrow" w:eastAsia="Times New Roman" w:hAnsi="Arial Narrow"/>
          <w:sz w:val="24"/>
          <w:szCs w:val="24"/>
        </w:rPr>
        <w:t xml:space="preserve"> need credit extended to meet a bona fide personal financial emergency</w:t>
      </w:r>
      <w:r w:rsidR="00243D56" w:rsidRPr="007D649E">
        <w:rPr>
          <w:rFonts w:ascii="Arial Narrow" w:eastAsia="Times New Roman" w:hAnsi="Arial Narrow"/>
          <w:sz w:val="24"/>
          <w:szCs w:val="24"/>
        </w:rPr>
        <w:t>.</w:t>
      </w:r>
      <w:r w:rsidR="00E367DC" w:rsidRPr="007D649E">
        <w:rPr>
          <w:rFonts w:ascii="Arial Narrow" w:eastAsia="Times New Roman" w:hAnsi="Arial Narrow"/>
          <w:sz w:val="24"/>
          <w:szCs w:val="24"/>
        </w:rPr>
        <w:t xml:space="preserve"> </w:t>
      </w:r>
      <w:r w:rsidR="007D649E" w:rsidRPr="007D649E">
        <w:rPr>
          <w:rFonts w:ascii="Arial Narrow" w:eastAsia="Times New Roman" w:hAnsi="Arial Narrow"/>
          <w:sz w:val="24"/>
          <w:szCs w:val="24"/>
        </w:rPr>
        <w:t>In order for the waiting periods to be modified or waived, the bank must have a dated written statement by the consumer that: (1) describes the emergency, (2) specifically modifies or waives the waiting period, and (3) bears the signature of all consumers who are primarily liable on the legal obligation (for the TRID Rule) or who are entitled to rescind (for the Rescission Rules).</w:t>
      </w:r>
    </w:p>
    <w:p w14:paraId="7565198F" w14:textId="366BF118" w:rsidR="00271866" w:rsidRPr="00271866" w:rsidRDefault="00491B2D" w:rsidP="00271866">
      <w:pPr>
        <w:contextualSpacing/>
        <w:rPr>
          <w:rFonts w:ascii="Arial Narrow" w:eastAsia="Times New Roman" w:hAnsi="Arial Narrow"/>
          <w:sz w:val="24"/>
          <w:szCs w:val="24"/>
        </w:rPr>
      </w:pPr>
      <w:r w:rsidRPr="00271866">
        <w:rPr>
          <w:rFonts w:ascii="Arial Narrow" w:eastAsia="Times New Roman" w:hAnsi="Arial Narrow" w:cs="Arial"/>
          <w:sz w:val="24"/>
          <w:szCs w:val="24"/>
        </w:rPr>
        <w:t>The CFPB clarified</w:t>
      </w:r>
      <w:r w:rsidR="00243D56" w:rsidRPr="00271866">
        <w:rPr>
          <w:rFonts w:ascii="Arial Narrow" w:eastAsia="Times New Roman" w:hAnsi="Arial Narrow" w:cs="Arial"/>
          <w:sz w:val="24"/>
          <w:szCs w:val="24"/>
        </w:rPr>
        <w:t xml:space="preserve"> in the rule </w:t>
      </w:r>
      <w:r w:rsidR="002161B7">
        <w:rPr>
          <w:rFonts w:ascii="Arial Narrow" w:eastAsia="Times New Roman" w:hAnsi="Arial Narrow" w:cs="Arial"/>
          <w:sz w:val="24"/>
          <w:szCs w:val="24"/>
        </w:rPr>
        <w:t xml:space="preserve">the </w:t>
      </w:r>
      <w:r w:rsidR="00243D56" w:rsidRPr="00271866">
        <w:rPr>
          <w:rFonts w:ascii="Arial Narrow" w:eastAsia="Times New Roman" w:hAnsi="Arial Narrow" w:cs="Arial"/>
          <w:sz w:val="24"/>
          <w:szCs w:val="24"/>
        </w:rPr>
        <w:t>bona fide personal financial emergency</w:t>
      </w:r>
      <w:r w:rsidR="002161B7">
        <w:rPr>
          <w:rFonts w:ascii="Arial Narrow" w:eastAsia="Times New Roman" w:hAnsi="Arial Narrow" w:cs="Arial"/>
          <w:sz w:val="24"/>
          <w:szCs w:val="24"/>
        </w:rPr>
        <w:t xml:space="preserve"> requirement</w:t>
      </w:r>
      <w:r w:rsidR="00243D56" w:rsidRPr="00271866">
        <w:rPr>
          <w:rFonts w:ascii="Arial Narrow" w:eastAsia="Times New Roman" w:hAnsi="Arial Narrow" w:cs="Arial"/>
          <w:sz w:val="24"/>
          <w:szCs w:val="24"/>
        </w:rPr>
        <w:t xml:space="preserve"> in the COVID-19 context. The CFPB concluded</w:t>
      </w:r>
      <w:r w:rsidRPr="00271866">
        <w:rPr>
          <w:rFonts w:ascii="Arial Narrow" w:eastAsia="Times New Roman" w:hAnsi="Arial Narrow" w:cs="Arial"/>
          <w:sz w:val="24"/>
          <w:szCs w:val="24"/>
        </w:rPr>
        <w:t xml:space="preserve"> that </w:t>
      </w:r>
      <w:r w:rsidR="00243D56" w:rsidRPr="00271866">
        <w:rPr>
          <w:rFonts w:ascii="Arial Narrow" w:eastAsia="Times New Roman" w:hAnsi="Arial Narrow" w:cs="Arial"/>
          <w:sz w:val="24"/>
          <w:szCs w:val="24"/>
        </w:rPr>
        <w:t>a consumer has a bona fide personal financial emergency that would permit the consumer to utilize the modification and waiver provisions,</w:t>
      </w:r>
      <w:r w:rsidR="00271866" w:rsidRPr="00271866">
        <w:rPr>
          <w:rFonts w:ascii="Arial Narrow" w:eastAsia="Times New Roman" w:hAnsi="Arial Narrow"/>
          <w:sz w:val="24"/>
          <w:szCs w:val="24"/>
        </w:rPr>
        <w:t xml:space="preserve"> subject to the applicable procedures set forth in the respective rules</w:t>
      </w:r>
      <w:r w:rsidR="00B32A65">
        <w:rPr>
          <w:rFonts w:ascii="Arial Narrow" w:eastAsia="Times New Roman" w:hAnsi="Arial Narrow"/>
          <w:sz w:val="24"/>
          <w:szCs w:val="24"/>
        </w:rPr>
        <w:t>,</w:t>
      </w:r>
      <w:r w:rsidR="00271866" w:rsidRPr="00271866">
        <w:rPr>
          <w:rFonts w:ascii="Arial Narrow" w:eastAsia="Times New Roman" w:hAnsi="Arial Narrow"/>
          <w:sz w:val="24"/>
          <w:szCs w:val="24"/>
        </w:rPr>
        <w:t xml:space="preserve"> if:</w:t>
      </w:r>
    </w:p>
    <w:p w14:paraId="5D722FE3" w14:textId="77777777" w:rsidR="00271866" w:rsidRDefault="00491B2D" w:rsidP="00271866">
      <w:pPr>
        <w:ind w:left="720"/>
        <w:contextualSpacing/>
        <w:rPr>
          <w:rFonts w:ascii="Arial Narrow" w:eastAsia="Times New Roman" w:hAnsi="Arial Narrow" w:cs="Arial"/>
          <w:sz w:val="24"/>
          <w:szCs w:val="24"/>
        </w:rPr>
      </w:pPr>
      <w:r w:rsidRPr="00271866">
        <w:rPr>
          <w:rFonts w:ascii="Arial Narrow" w:eastAsia="Times New Roman" w:hAnsi="Arial Narrow" w:cs="Arial"/>
          <w:sz w:val="24"/>
          <w:szCs w:val="24"/>
        </w:rPr>
        <w:t xml:space="preserve">(1) a consumer determines that the extension of credit is needed to meet a bona fide personal financial emergency, </w:t>
      </w:r>
    </w:p>
    <w:p w14:paraId="2D8C8214" w14:textId="77777777" w:rsidR="00271866" w:rsidRDefault="00491B2D" w:rsidP="00271866">
      <w:pPr>
        <w:ind w:left="720"/>
        <w:contextualSpacing/>
        <w:rPr>
          <w:rFonts w:ascii="Arial Narrow" w:eastAsia="Times New Roman" w:hAnsi="Arial Narrow" w:cs="Arial"/>
          <w:sz w:val="24"/>
          <w:szCs w:val="24"/>
        </w:rPr>
      </w:pPr>
      <w:r w:rsidRPr="00271866">
        <w:rPr>
          <w:rFonts w:ascii="Arial Narrow" w:eastAsia="Times New Roman" w:hAnsi="Arial Narrow" w:cs="Arial"/>
          <w:sz w:val="24"/>
          <w:szCs w:val="24"/>
        </w:rPr>
        <w:lastRenderedPageBreak/>
        <w:t xml:space="preserve">(2) the consumer’s brief statement describing the emergency identifies a financial need that is due to the COVID-19 pandemic, and </w:t>
      </w:r>
    </w:p>
    <w:p w14:paraId="1B86CA41" w14:textId="188BED1F" w:rsidR="007D649E" w:rsidRDefault="00491B2D" w:rsidP="0068634C">
      <w:pPr>
        <w:ind w:left="720"/>
        <w:rPr>
          <w:rFonts w:ascii="Arial Narrow" w:eastAsia="Times New Roman" w:hAnsi="Arial Narrow"/>
          <w:sz w:val="24"/>
          <w:szCs w:val="24"/>
        </w:rPr>
      </w:pPr>
      <w:r w:rsidRPr="000C1CD1">
        <w:rPr>
          <w:rFonts w:ascii="Arial Narrow" w:eastAsia="Times New Roman" w:hAnsi="Arial Narrow" w:cs="Arial"/>
          <w:sz w:val="24"/>
          <w:szCs w:val="24"/>
        </w:rPr>
        <w:t>(3) the emergency necessitates consummating the credit transaction before the end of an applicable</w:t>
      </w:r>
      <w:r w:rsidR="000C1CD1">
        <w:rPr>
          <w:rFonts w:ascii="Arial Narrow" w:eastAsia="Times New Roman" w:hAnsi="Arial Narrow" w:cs="Arial"/>
          <w:sz w:val="24"/>
          <w:szCs w:val="24"/>
        </w:rPr>
        <w:t xml:space="preserve"> TRID Rule</w:t>
      </w:r>
      <w:r w:rsidRPr="000C1CD1">
        <w:rPr>
          <w:rFonts w:ascii="Arial Narrow" w:eastAsia="Times New Roman" w:hAnsi="Arial Narrow" w:cs="Arial"/>
          <w:sz w:val="24"/>
          <w:szCs w:val="24"/>
        </w:rPr>
        <w:t xml:space="preserve"> waiting period</w:t>
      </w:r>
      <w:r w:rsidR="000C1CD1" w:rsidRPr="000C1CD1">
        <w:rPr>
          <w:rFonts w:ascii="Arial Narrow" w:eastAsia="Times New Roman" w:hAnsi="Arial Narrow" w:cs="Arial"/>
          <w:sz w:val="24"/>
          <w:szCs w:val="24"/>
        </w:rPr>
        <w:t xml:space="preserve"> </w:t>
      </w:r>
      <w:r w:rsidR="000C1CD1" w:rsidRPr="000C1CD1">
        <w:rPr>
          <w:rFonts w:ascii="Arial Narrow" w:eastAsia="Times New Roman" w:hAnsi="Arial Narrow"/>
          <w:sz w:val="24"/>
          <w:szCs w:val="24"/>
        </w:rPr>
        <w:t>or mu</w:t>
      </w:r>
      <w:r w:rsidR="000C1CD1">
        <w:rPr>
          <w:rFonts w:ascii="Arial Narrow" w:eastAsia="Times New Roman" w:hAnsi="Arial Narrow"/>
          <w:sz w:val="24"/>
          <w:szCs w:val="24"/>
        </w:rPr>
        <w:t>st be met before the end of the</w:t>
      </w:r>
      <w:r w:rsidR="000C1CD1" w:rsidRPr="000C1CD1">
        <w:rPr>
          <w:rFonts w:ascii="Arial Narrow" w:eastAsia="Times New Roman" w:hAnsi="Arial Narrow"/>
          <w:sz w:val="24"/>
          <w:szCs w:val="24"/>
        </w:rPr>
        <w:t xml:space="preserve"> Rescission Rules waiting period</w:t>
      </w:r>
    </w:p>
    <w:p w14:paraId="32A02133" w14:textId="64862C2E" w:rsidR="00437C6D" w:rsidRPr="00437C6D" w:rsidRDefault="00E75F87" w:rsidP="00437C6D">
      <w:pPr>
        <w:contextualSpacing/>
        <w:rPr>
          <w:rFonts w:ascii="Arial Narrow" w:eastAsia="Times New Roman" w:hAnsi="Arial Narrow"/>
          <w:sz w:val="24"/>
          <w:szCs w:val="24"/>
        </w:rPr>
      </w:pPr>
      <w:r>
        <w:rPr>
          <w:rFonts w:ascii="Arial Narrow" w:eastAsia="Times New Roman" w:hAnsi="Arial Narrow"/>
          <w:sz w:val="24"/>
          <w:szCs w:val="24"/>
        </w:rPr>
        <w:t xml:space="preserve">As indicated in a footnote in the interpretive rule, both the TRID Rule and </w:t>
      </w:r>
      <w:r w:rsidRPr="007D649E">
        <w:rPr>
          <w:rFonts w:ascii="Arial Narrow" w:eastAsia="Times New Roman" w:hAnsi="Arial Narrow"/>
          <w:sz w:val="24"/>
          <w:szCs w:val="24"/>
        </w:rPr>
        <w:t>the Rescission Rules</w:t>
      </w:r>
      <w:r>
        <w:rPr>
          <w:rFonts w:ascii="Arial Narrow" w:eastAsia="Times New Roman" w:hAnsi="Arial Narrow"/>
          <w:sz w:val="24"/>
          <w:szCs w:val="24"/>
        </w:rPr>
        <w:t xml:space="preserve"> prohibit the use of printed forms for this purpose.</w:t>
      </w:r>
      <w:r w:rsidR="00714B37">
        <w:rPr>
          <w:rFonts w:ascii="Arial Narrow" w:eastAsia="Times New Roman" w:hAnsi="Arial Narrow"/>
          <w:sz w:val="24"/>
          <w:szCs w:val="24"/>
        </w:rPr>
        <w:t xml:space="preserve"> As such banks would not want to include such a form in </w:t>
      </w:r>
      <w:r w:rsidR="005124A1">
        <w:rPr>
          <w:rFonts w:ascii="Arial Narrow" w:eastAsia="Times New Roman" w:hAnsi="Arial Narrow"/>
          <w:sz w:val="24"/>
          <w:szCs w:val="24"/>
        </w:rPr>
        <w:t>an</w:t>
      </w:r>
      <w:r w:rsidR="00714B37">
        <w:rPr>
          <w:rFonts w:ascii="Arial Narrow" w:eastAsia="Times New Roman" w:hAnsi="Arial Narrow"/>
          <w:sz w:val="24"/>
          <w:szCs w:val="24"/>
        </w:rPr>
        <w:t xml:space="preserve"> application packet or otherwise provide a printed form. </w:t>
      </w:r>
      <w:r w:rsidR="007D649E" w:rsidRPr="00437C6D">
        <w:rPr>
          <w:rFonts w:ascii="Arial Narrow" w:eastAsia="Times New Roman" w:hAnsi="Arial Narrow" w:cs="Arial"/>
          <w:sz w:val="24"/>
          <w:szCs w:val="24"/>
        </w:rPr>
        <w:t>Additionally,</w:t>
      </w:r>
      <w:r w:rsidR="00714B37">
        <w:rPr>
          <w:rFonts w:ascii="Arial Narrow" w:eastAsia="Times New Roman" w:hAnsi="Arial Narrow" w:cs="Arial"/>
          <w:sz w:val="24"/>
          <w:szCs w:val="24"/>
        </w:rPr>
        <w:t xml:space="preserve"> while not required by either rule</w:t>
      </w:r>
      <w:r w:rsidR="005124A1">
        <w:rPr>
          <w:rFonts w:ascii="Arial Narrow" w:eastAsia="Times New Roman" w:hAnsi="Arial Narrow" w:cs="Arial"/>
          <w:sz w:val="24"/>
          <w:szCs w:val="24"/>
        </w:rPr>
        <w:t>,</w:t>
      </w:r>
      <w:r w:rsidR="007D649E" w:rsidRPr="00437C6D">
        <w:rPr>
          <w:rFonts w:ascii="Arial Narrow" w:eastAsia="Times New Roman" w:hAnsi="Arial Narrow" w:cs="Arial"/>
          <w:sz w:val="24"/>
          <w:szCs w:val="24"/>
        </w:rPr>
        <w:t xml:space="preserve"> the </w:t>
      </w:r>
      <w:r w:rsidR="00437C6D" w:rsidRPr="00437C6D">
        <w:rPr>
          <w:rFonts w:ascii="Arial Narrow" w:eastAsia="Times New Roman" w:hAnsi="Arial Narrow"/>
          <w:sz w:val="24"/>
          <w:szCs w:val="24"/>
        </w:rPr>
        <w:t>CFPB</w:t>
      </w:r>
      <w:r w:rsidR="00437C6D">
        <w:rPr>
          <w:rFonts w:ascii="Arial Narrow" w:eastAsia="Times New Roman" w:hAnsi="Arial Narrow"/>
          <w:sz w:val="24"/>
          <w:szCs w:val="24"/>
        </w:rPr>
        <w:t xml:space="preserve"> encouraged</w:t>
      </w:r>
      <w:r w:rsidR="00437C6D" w:rsidRPr="00437C6D">
        <w:rPr>
          <w:rFonts w:ascii="Arial Narrow" w:eastAsia="Times New Roman" w:hAnsi="Arial Narrow"/>
          <w:sz w:val="24"/>
          <w:szCs w:val="24"/>
        </w:rPr>
        <w:t xml:space="preserve"> banks to consider voluntarily informing consumers during the COVID-19 pandemic of their ability to utilize the modi</w:t>
      </w:r>
      <w:r w:rsidR="00437C6D">
        <w:rPr>
          <w:rFonts w:ascii="Arial Narrow" w:eastAsia="Times New Roman" w:hAnsi="Arial Narrow"/>
          <w:sz w:val="24"/>
          <w:szCs w:val="24"/>
        </w:rPr>
        <w:t>fication and waiver provisio</w:t>
      </w:r>
      <w:bookmarkStart w:id="0" w:name="_GoBack"/>
      <w:bookmarkEnd w:id="0"/>
      <w:r w:rsidR="00437C6D">
        <w:rPr>
          <w:rFonts w:ascii="Arial Narrow" w:eastAsia="Times New Roman" w:hAnsi="Arial Narrow"/>
          <w:sz w:val="24"/>
          <w:szCs w:val="24"/>
        </w:rPr>
        <w:t>ns for bona fide personal financial emergencies.</w:t>
      </w:r>
    </w:p>
    <w:p w14:paraId="08D68CDF" w14:textId="77777777" w:rsidR="00437C6D" w:rsidRDefault="00437C6D" w:rsidP="00437C6D">
      <w:pPr>
        <w:contextualSpacing/>
        <w:rPr>
          <w:rFonts w:ascii="Arial Narrow" w:eastAsia="Times New Roman" w:hAnsi="Arial Narrow"/>
          <w:sz w:val="24"/>
          <w:szCs w:val="24"/>
        </w:rPr>
      </w:pPr>
    </w:p>
    <w:p w14:paraId="27B268C5" w14:textId="77777777" w:rsidR="005124A1" w:rsidRPr="00271866" w:rsidRDefault="005124A1" w:rsidP="00437C6D">
      <w:pPr>
        <w:contextualSpacing/>
        <w:rPr>
          <w:rFonts w:ascii="Arial Narrow" w:eastAsia="Times New Roman" w:hAnsi="Arial Narrow"/>
          <w:sz w:val="24"/>
          <w:szCs w:val="24"/>
        </w:rPr>
      </w:pPr>
    </w:p>
    <w:p w14:paraId="1A056DA5" w14:textId="06296885" w:rsidR="007802EE" w:rsidRDefault="000F6E4C" w:rsidP="00437C6D">
      <w:pPr>
        <w:contextualSpacing/>
        <w:rPr>
          <w:rFonts w:ascii="Arial Narrow" w:hAnsi="Arial Narrow" w:cs="Arial"/>
          <w:b/>
          <w:color w:val="22862A"/>
          <w:sz w:val="24"/>
          <w:szCs w:val="24"/>
        </w:rPr>
      </w:pPr>
      <w:r>
        <w:rPr>
          <w:rFonts w:ascii="Arial Narrow" w:hAnsi="Arial Narrow" w:cs="Arial"/>
          <w:b/>
          <w:color w:val="22862A"/>
          <w:sz w:val="24"/>
          <w:szCs w:val="24"/>
        </w:rPr>
        <w:t>Changed Circumstances</w:t>
      </w:r>
    </w:p>
    <w:p w14:paraId="500E0353" w14:textId="64F414E6" w:rsidR="00661FA1" w:rsidRPr="00661FA1" w:rsidRDefault="00E367DC" w:rsidP="00661FA1">
      <w:pPr>
        <w:rPr>
          <w:rFonts w:ascii="Arial Narrow" w:eastAsia="Times New Roman" w:hAnsi="Arial Narrow"/>
          <w:sz w:val="24"/>
          <w:szCs w:val="24"/>
        </w:rPr>
      </w:pPr>
      <w:r w:rsidRPr="00661FA1">
        <w:rPr>
          <w:rFonts w:ascii="Arial Narrow" w:hAnsi="Arial Narrow" w:cs="Arial"/>
          <w:sz w:val="24"/>
          <w:szCs w:val="24"/>
        </w:rPr>
        <w:t>The CFPB concluded in the interpretive rule</w:t>
      </w:r>
      <w:r w:rsidR="000F6E4C" w:rsidRPr="00661FA1">
        <w:rPr>
          <w:rFonts w:ascii="Arial Narrow" w:hAnsi="Arial Narrow" w:cs="Arial"/>
          <w:sz w:val="24"/>
          <w:szCs w:val="24"/>
        </w:rPr>
        <w:t xml:space="preserve"> that</w:t>
      </w:r>
      <w:r w:rsidRPr="00661FA1">
        <w:rPr>
          <w:rFonts w:ascii="Arial Narrow" w:hAnsi="Arial Narrow" w:cs="Arial"/>
          <w:sz w:val="24"/>
          <w:szCs w:val="24"/>
        </w:rPr>
        <w:t xml:space="preserve"> </w:t>
      </w:r>
      <w:r w:rsidR="000F6E4C" w:rsidRPr="00661FA1">
        <w:rPr>
          <w:rFonts w:ascii="Arial Narrow" w:hAnsi="Arial Narrow" w:cs="Arial"/>
          <w:sz w:val="24"/>
          <w:szCs w:val="24"/>
        </w:rPr>
        <w:t xml:space="preserve">the COVID-19 pandemic is an example of an extraordinary event beyond the control of any interested party, and thus is a changed circumstance. Accordingly, for purposes of determining good faith, </w:t>
      </w:r>
      <w:r w:rsidR="007D649E" w:rsidRPr="00661FA1">
        <w:rPr>
          <w:rFonts w:ascii="Arial Narrow" w:hAnsi="Arial Narrow" w:cs="Arial"/>
          <w:sz w:val="24"/>
          <w:szCs w:val="24"/>
        </w:rPr>
        <w:t>banks</w:t>
      </w:r>
      <w:r w:rsidR="000F6E4C" w:rsidRPr="00661FA1">
        <w:rPr>
          <w:rFonts w:ascii="Arial Narrow" w:hAnsi="Arial Narrow" w:cs="Arial"/>
          <w:sz w:val="24"/>
          <w:szCs w:val="24"/>
        </w:rPr>
        <w:t xml:space="preserve"> may use revised estimates of settlement charges that consumers </w:t>
      </w:r>
      <w:r w:rsidR="000F6E4C" w:rsidRPr="00661FA1">
        <w:rPr>
          <w:rFonts w:ascii="Arial Narrow" w:eastAsia="Times New Roman" w:hAnsi="Arial Narrow"/>
          <w:sz w:val="24"/>
          <w:szCs w:val="24"/>
        </w:rPr>
        <w:t>would incur in connection with the mortgage transaction if the COVID-19 pandemic has affected the estimate of such settlement charges.</w:t>
      </w:r>
      <w:r w:rsidR="00661FA1" w:rsidRPr="00661FA1">
        <w:rPr>
          <w:rFonts w:ascii="Arial Narrow" w:eastAsia="Times New Roman" w:hAnsi="Arial Narrow"/>
          <w:sz w:val="24"/>
          <w:szCs w:val="24"/>
        </w:rPr>
        <w:t xml:space="preserve"> </w:t>
      </w:r>
      <w:r w:rsidR="000A022E">
        <w:rPr>
          <w:rFonts w:ascii="Arial Narrow" w:eastAsia="Times New Roman" w:hAnsi="Arial Narrow"/>
          <w:sz w:val="24"/>
          <w:szCs w:val="24"/>
        </w:rPr>
        <w:t>The</w:t>
      </w:r>
      <w:r w:rsidR="00661FA1" w:rsidRPr="00661FA1">
        <w:rPr>
          <w:rFonts w:ascii="Arial Narrow" w:eastAsia="Times New Roman" w:hAnsi="Arial Narrow"/>
          <w:sz w:val="24"/>
          <w:szCs w:val="24"/>
        </w:rPr>
        <w:t xml:space="preserve"> CFPB </w:t>
      </w:r>
      <w:r w:rsidR="000A022E">
        <w:rPr>
          <w:rFonts w:ascii="Arial Narrow" w:eastAsia="Times New Roman" w:hAnsi="Arial Narrow"/>
          <w:sz w:val="24"/>
          <w:szCs w:val="24"/>
        </w:rPr>
        <w:t xml:space="preserve">provided an example in the context of appraisal fees, where COVID-19 could be </w:t>
      </w:r>
      <w:r w:rsidR="005124A1">
        <w:rPr>
          <w:rFonts w:ascii="Arial Narrow" w:eastAsia="Times New Roman" w:hAnsi="Arial Narrow"/>
          <w:sz w:val="24"/>
          <w:szCs w:val="24"/>
        </w:rPr>
        <w:t>the</w:t>
      </w:r>
      <w:r w:rsidR="004C261D">
        <w:rPr>
          <w:rFonts w:ascii="Arial Narrow" w:eastAsia="Times New Roman" w:hAnsi="Arial Narrow"/>
          <w:sz w:val="24"/>
          <w:szCs w:val="24"/>
        </w:rPr>
        <w:t xml:space="preserve"> basis </w:t>
      </w:r>
      <w:r w:rsidR="005124A1">
        <w:rPr>
          <w:rFonts w:ascii="Arial Narrow" w:eastAsia="Times New Roman" w:hAnsi="Arial Narrow"/>
          <w:sz w:val="24"/>
          <w:szCs w:val="24"/>
        </w:rPr>
        <w:t>of</w:t>
      </w:r>
      <w:r w:rsidR="004C261D">
        <w:rPr>
          <w:rFonts w:ascii="Arial Narrow" w:eastAsia="Times New Roman" w:hAnsi="Arial Narrow"/>
          <w:sz w:val="24"/>
          <w:szCs w:val="24"/>
        </w:rPr>
        <w:t xml:space="preserve"> a</w:t>
      </w:r>
      <w:r w:rsidR="000A022E">
        <w:rPr>
          <w:rFonts w:ascii="Arial Narrow" w:eastAsia="Times New Roman" w:hAnsi="Arial Narrow"/>
          <w:sz w:val="24"/>
          <w:szCs w:val="24"/>
        </w:rPr>
        <w:t xml:space="preserve"> changed circumstance </w:t>
      </w:r>
      <w:r w:rsidR="00661FA1" w:rsidRPr="00661FA1">
        <w:rPr>
          <w:rFonts w:ascii="Arial Narrow" w:eastAsia="Times New Roman" w:hAnsi="Arial Narrow"/>
          <w:sz w:val="24"/>
          <w:szCs w:val="24"/>
        </w:rPr>
        <w:t>where (1) the amount disclosed on the Loan Estimate was based on a reasonable market price at the time of the estimate and (2) the actual appraisal fee was higher because of a shortage of available appraisers due to the effects of the COVID-19 pandemic</w:t>
      </w:r>
      <w:r w:rsidR="00E75F87">
        <w:rPr>
          <w:rFonts w:ascii="Arial Narrow" w:eastAsia="Times New Roman" w:hAnsi="Arial Narrow"/>
          <w:sz w:val="24"/>
          <w:szCs w:val="24"/>
        </w:rPr>
        <w:t xml:space="preserve">. </w:t>
      </w:r>
    </w:p>
    <w:p w14:paraId="6EA9A267" w14:textId="77777777" w:rsidR="009C110A" w:rsidRDefault="009C110A" w:rsidP="009C110A">
      <w:pPr>
        <w:spacing w:after="0"/>
        <w:jc w:val="both"/>
        <w:rPr>
          <w:rFonts w:ascii="Arial Narrow" w:hAnsi="Arial Narrow"/>
          <w:sz w:val="24"/>
          <w:szCs w:val="24"/>
        </w:rPr>
      </w:pPr>
    </w:p>
    <w:p w14:paraId="29E6EB21" w14:textId="77777777" w:rsidR="00437C6D" w:rsidRPr="001371EF" w:rsidRDefault="00437C6D" w:rsidP="009C110A">
      <w:pPr>
        <w:spacing w:after="0"/>
        <w:jc w:val="both"/>
        <w:rPr>
          <w:rFonts w:ascii="Arial Narrow" w:hAnsi="Arial Narrow"/>
          <w:sz w:val="24"/>
          <w:szCs w:val="24"/>
        </w:rPr>
      </w:pPr>
    </w:p>
    <w:tbl>
      <w:tblPr>
        <w:tblpPr w:leftFromText="180" w:rightFromText="180" w:vertAnchor="text" w:tblpXSpec="center" w:tblpY="1"/>
        <w:tblW w:w="5000" w:type="pct"/>
        <w:tblBorders>
          <w:top w:val="single" w:sz="8" w:space="0" w:color="9BBB59"/>
          <w:bottom w:val="single" w:sz="8" w:space="0" w:color="9BBB59"/>
        </w:tblBorders>
        <w:tblLook w:val="04A0" w:firstRow="1" w:lastRow="0" w:firstColumn="1" w:lastColumn="0" w:noHBand="0" w:noVBand="1"/>
      </w:tblPr>
      <w:tblGrid>
        <w:gridCol w:w="9576"/>
      </w:tblGrid>
      <w:tr w:rsidR="009C110A" w:rsidRPr="001371EF" w14:paraId="081D386D" w14:textId="77777777" w:rsidTr="004A5CEF">
        <w:trPr>
          <w:trHeight w:val="799"/>
        </w:trPr>
        <w:tc>
          <w:tcPr>
            <w:tcW w:w="5000" w:type="pct"/>
            <w:tcBorders>
              <w:top w:val="single" w:sz="4" w:space="0" w:color="218649"/>
              <w:left w:val="single" w:sz="4" w:space="0" w:color="218649"/>
              <w:bottom w:val="single" w:sz="4" w:space="0" w:color="218649"/>
              <w:right w:val="single" w:sz="4" w:space="0" w:color="218649"/>
            </w:tcBorders>
            <w:shd w:val="clear" w:color="auto" w:fill="auto"/>
          </w:tcPr>
          <w:p w14:paraId="7CC83E01" w14:textId="77777777" w:rsidR="00C4639C" w:rsidRPr="001371EF" w:rsidRDefault="00C4639C" w:rsidP="004A5CEF">
            <w:pPr>
              <w:spacing w:after="0" w:line="240" w:lineRule="auto"/>
              <w:jc w:val="center"/>
              <w:rPr>
                <w:rFonts w:ascii="Arial Narrow" w:hAnsi="Arial Narrow"/>
                <w:b/>
                <w:bCs/>
                <w:color w:val="218649"/>
                <w:sz w:val="24"/>
                <w:szCs w:val="24"/>
              </w:rPr>
            </w:pPr>
            <w:r w:rsidRPr="001371EF">
              <w:rPr>
                <w:rFonts w:ascii="Arial Narrow" w:hAnsi="Arial Narrow"/>
                <w:b/>
                <w:bCs/>
                <w:color w:val="218649"/>
                <w:sz w:val="24"/>
                <w:szCs w:val="24"/>
              </w:rPr>
              <w:br w:type="page"/>
            </w:r>
            <w:r w:rsidRPr="001371EF">
              <w:rPr>
                <w:rFonts w:ascii="Arial Narrow" w:hAnsi="Arial Narrow"/>
                <w:b/>
                <w:bCs/>
                <w:color w:val="218649"/>
                <w:sz w:val="24"/>
                <w:szCs w:val="24"/>
              </w:rPr>
              <w:br w:type="page"/>
              <w:t xml:space="preserve">ACTION PLAN </w:t>
            </w:r>
          </w:p>
          <w:p w14:paraId="28FF9E7B" w14:textId="77777777" w:rsidR="00AC5590" w:rsidRPr="001371EF" w:rsidRDefault="00AC5590" w:rsidP="004A5CEF">
            <w:pPr>
              <w:spacing w:after="0" w:line="240" w:lineRule="auto"/>
              <w:rPr>
                <w:rFonts w:ascii="Arial Narrow" w:hAnsi="Arial Narrow"/>
                <w:b/>
                <w:bCs/>
                <w:color w:val="218649"/>
                <w:sz w:val="24"/>
                <w:szCs w:val="24"/>
              </w:rPr>
            </w:pPr>
          </w:p>
          <w:p w14:paraId="716FA0BC" w14:textId="7EF005F9" w:rsidR="00C4639C" w:rsidRPr="001371EF" w:rsidRDefault="0073726C" w:rsidP="009F6C09">
            <w:pPr>
              <w:numPr>
                <w:ilvl w:val="0"/>
                <w:numId w:val="19"/>
              </w:numPr>
              <w:contextualSpacing/>
              <w:rPr>
                <w:rFonts w:ascii="Arial Narrow" w:hAnsi="Arial Narrow"/>
                <w:b/>
                <w:bCs/>
                <w:sz w:val="24"/>
                <w:szCs w:val="24"/>
              </w:rPr>
            </w:pPr>
            <w:r w:rsidRPr="001371EF">
              <w:rPr>
                <w:rFonts w:ascii="Arial Narrow" w:hAnsi="Arial Narrow"/>
                <w:b/>
                <w:bCs/>
                <w:sz w:val="24"/>
                <w:szCs w:val="24"/>
              </w:rPr>
              <w:t xml:space="preserve">Read the </w:t>
            </w:r>
            <w:r w:rsidR="00136C88">
              <w:rPr>
                <w:rFonts w:ascii="Arial Narrow" w:hAnsi="Arial Narrow"/>
                <w:b/>
                <w:bCs/>
                <w:sz w:val="24"/>
                <w:szCs w:val="24"/>
              </w:rPr>
              <w:t>Interpretive</w:t>
            </w:r>
            <w:r w:rsidRPr="001371EF">
              <w:rPr>
                <w:rFonts w:ascii="Arial Narrow" w:hAnsi="Arial Narrow"/>
                <w:b/>
                <w:bCs/>
                <w:sz w:val="24"/>
                <w:szCs w:val="24"/>
              </w:rPr>
              <w:t xml:space="preserve"> Rule</w:t>
            </w:r>
            <w:r w:rsidR="0013592E" w:rsidRPr="001371EF">
              <w:rPr>
                <w:rFonts w:ascii="Arial Narrow" w:hAnsi="Arial Narrow"/>
                <w:b/>
                <w:bCs/>
                <w:sz w:val="24"/>
                <w:szCs w:val="24"/>
              </w:rPr>
              <w:t>.</w:t>
            </w:r>
          </w:p>
          <w:p w14:paraId="79376F7A" w14:textId="77777777" w:rsidR="00D635DE" w:rsidRPr="001371EF" w:rsidRDefault="00D635DE" w:rsidP="00D635DE">
            <w:pPr>
              <w:ind w:left="720"/>
              <w:contextualSpacing/>
              <w:rPr>
                <w:rFonts w:ascii="Arial Narrow" w:hAnsi="Arial Narrow"/>
                <w:b/>
                <w:bCs/>
                <w:sz w:val="24"/>
                <w:szCs w:val="24"/>
              </w:rPr>
            </w:pPr>
          </w:p>
          <w:p w14:paraId="476F34D5" w14:textId="21A8E351" w:rsidR="00F4559C" w:rsidRPr="001371EF" w:rsidRDefault="00F4559C" w:rsidP="00F4559C">
            <w:pPr>
              <w:numPr>
                <w:ilvl w:val="0"/>
                <w:numId w:val="19"/>
              </w:numPr>
              <w:contextualSpacing/>
              <w:rPr>
                <w:rFonts w:ascii="Arial Narrow" w:hAnsi="Arial Narrow"/>
                <w:b/>
                <w:bCs/>
                <w:sz w:val="24"/>
                <w:szCs w:val="24"/>
              </w:rPr>
            </w:pPr>
            <w:r w:rsidRPr="001371EF">
              <w:rPr>
                <w:rFonts w:ascii="Arial Narrow" w:hAnsi="Arial Narrow"/>
                <w:b/>
                <w:bCs/>
                <w:sz w:val="24"/>
                <w:szCs w:val="24"/>
              </w:rPr>
              <w:t xml:space="preserve">Determine how your </w:t>
            </w:r>
            <w:r w:rsidR="00136C88">
              <w:rPr>
                <w:rFonts w:ascii="Arial Narrow" w:hAnsi="Arial Narrow"/>
                <w:b/>
                <w:bCs/>
                <w:sz w:val="24"/>
                <w:szCs w:val="24"/>
              </w:rPr>
              <w:t>Reg. Z</w:t>
            </w:r>
            <w:r w:rsidRPr="001371EF">
              <w:rPr>
                <w:rFonts w:ascii="Arial Narrow" w:hAnsi="Arial Narrow"/>
                <w:b/>
                <w:bCs/>
                <w:sz w:val="24"/>
                <w:szCs w:val="24"/>
              </w:rPr>
              <w:t xml:space="preserve"> policies, procedures, training tools, and departments will be affected by these </w:t>
            </w:r>
            <w:r w:rsidR="00136C88">
              <w:rPr>
                <w:rFonts w:ascii="Arial Narrow" w:hAnsi="Arial Narrow"/>
                <w:b/>
                <w:bCs/>
                <w:sz w:val="24"/>
                <w:szCs w:val="24"/>
              </w:rPr>
              <w:t>interpretations</w:t>
            </w:r>
            <w:r w:rsidRPr="001371EF">
              <w:rPr>
                <w:rFonts w:ascii="Arial Narrow" w:hAnsi="Arial Narrow"/>
                <w:b/>
                <w:bCs/>
                <w:sz w:val="24"/>
                <w:szCs w:val="24"/>
              </w:rPr>
              <w:t>.</w:t>
            </w:r>
          </w:p>
          <w:p w14:paraId="58318877" w14:textId="77777777" w:rsidR="00D635DE" w:rsidRPr="001371EF" w:rsidRDefault="00D635DE" w:rsidP="00D635DE">
            <w:pPr>
              <w:ind w:left="720"/>
              <w:contextualSpacing/>
              <w:rPr>
                <w:rFonts w:ascii="Arial Narrow" w:hAnsi="Arial Narrow"/>
                <w:b/>
                <w:bCs/>
                <w:sz w:val="24"/>
                <w:szCs w:val="24"/>
              </w:rPr>
            </w:pPr>
          </w:p>
          <w:p w14:paraId="36DC54D0" w14:textId="643D2809" w:rsidR="00F4559C" w:rsidRPr="00136C88" w:rsidRDefault="00136C88" w:rsidP="00F4559C">
            <w:pPr>
              <w:numPr>
                <w:ilvl w:val="0"/>
                <w:numId w:val="19"/>
              </w:numPr>
              <w:contextualSpacing/>
              <w:rPr>
                <w:rFonts w:ascii="Arial Narrow" w:hAnsi="Arial Narrow"/>
                <w:b/>
                <w:bCs/>
                <w:sz w:val="24"/>
                <w:szCs w:val="24"/>
              </w:rPr>
            </w:pPr>
            <w:r w:rsidRPr="00136C88">
              <w:rPr>
                <w:rFonts w:ascii="Arial Narrow" w:hAnsi="Arial Narrow"/>
                <w:b/>
                <w:bCs/>
                <w:sz w:val="24"/>
                <w:szCs w:val="24"/>
              </w:rPr>
              <w:t>Train loan officers</w:t>
            </w:r>
            <w:r w:rsidR="00CD4FD8">
              <w:rPr>
                <w:rFonts w:ascii="Arial Narrow" w:hAnsi="Arial Narrow"/>
                <w:b/>
                <w:bCs/>
                <w:sz w:val="24"/>
                <w:szCs w:val="24"/>
              </w:rPr>
              <w:t xml:space="preserve"> and other relevant staff</w:t>
            </w:r>
            <w:r w:rsidRPr="00136C88">
              <w:rPr>
                <w:rFonts w:ascii="Arial Narrow" w:hAnsi="Arial Narrow"/>
                <w:b/>
                <w:bCs/>
                <w:sz w:val="24"/>
                <w:szCs w:val="24"/>
              </w:rPr>
              <w:t xml:space="preserve"> to recognize when consumers may be undergoing </w:t>
            </w:r>
            <w:r w:rsidRPr="00136C88">
              <w:rPr>
                <w:rFonts w:ascii="Arial Narrow" w:eastAsia="Times New Roman" w:hAnsi="Arial Narrow"/>
                <w:b/>
                <w:sz w:val="24"/>
                <w:szCs w:val="24"/>
              </w:rPr>
              <w:t>bona fide personal financial emergencies and inform them of the modification and waiver provisions.</w:t>
            </w:r>
          </w:p>
          <w:p w14:paraId="7F4D1545" w14:textId="77777777" w:rsidR="00D635DE" w:rsidRPr="001371EF" w:rsidRDefault="00D635DE" w:rsidP="00D635DE">
            <w:pPr>
              <w:ind w:left="720"/>
              <w:contextualSpacing/>
              <w:rPr>
                <w:rFonts w:ascii="Arial Narrow" w:hAnsi="Arial Narrow"/>
                <w:b/>
                <w:bCs/>
                <w:sz w:val="24"/>
                <w:szCs w:val="24"/>
              </w:rPr>
            </w:pPr>
          </w:p>
          <w:p w14:paraId="686BBC21" w14:textId="0A63EF34" w:rsidR="0073726C" w:rsidRPr="001371EF" w:rsidRDefault="0073726C" w:rsidP="0073726C">
            <w:pPr>
              <w:numPr>
                <w:ilvl w:val="0"/>
                <w:numId w:val="19"/>
              </w:numPr>
              <w:contextualSpacing/>
              <w:rPr>
                <w:rFonts w:ascii="Arial Narrow" w:hAnsi="Arial Narrow"/>
                <w:b/>
                <w:bCs/>
                <w:sz w:val="24"/>
                <w:szCs w:val="24"/>
              </w:rPr>
            </w:pPr>
            <w:r w:rsidRPr="001371EF">
              <w:rPr>
                <w:rFonts w:ascii="Arial Narrow" w:hAnsi="Arial Narrow"/>
                <w:b/>
                <w:bCs/>
                <w:sz w:val="24"/>
                <w:szCs w:val="24"/>
              </w:rPr>
              <w:t xml:space="preserve">Contact Compliance Alliance with any questions. </w:t>
            </w:r>
          </w:p>
        </w:tc>
      </w:tr>
    </w:tbl>
    <w:p w14:paraId="640A596E" w14:textId="77777777" w:rsidR="0010616B" w:rsidRPr="001371EF" w:rsidRDefault="0010616B" w:rsidP="00C459C7">
      <w:pPr>
        <w:rPr>
          <w:rFonts w:ascii="Arial Narrow" w:hAnsi="Arial Narrow"/>
          <w:sz w:val="24"/>
          <w:szCs w:val="24"/>
        </w:rPr>
      </w:pPr>
    </w:p>
    <w:sectPr w:rsidR="0010616B" w:rsidRPr="001371EF" w:rsidSect="00AC5590">
      <w:footerReference w:type="even" r:id="rId12"/>
      <w:footerReference w:type="default" r:id="rId13"/>
      <w:pgSz w:w="12240" w:h="15840"/>
      <w:pgMar w:top="1440" w:right="1440" w:bottom="1440" w:left="1440" w:header="720" w:footer="47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092C9" w14:textId="77777777" w:rsidR="000A022E" w:rsidRDefault="000A022E" w:rsidP="00C4639C">
      <w:pPr>
        <w:spacing w:after="0" w:line="240" w:lineRule="auto"/>
      </w:pPr>
      <w:r>
        <w:separator/>
      </w:r>
    </w:p>
  </w:endnote>
  <w:endnote w:type="continuationSeparator" w:id="0">
    <w:p w14:paraId="505CE60F" w14:textId="77777777" w:rsidR="000A022E" w:rsidRDefault="000A022E" w:rsidP="00C4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1B9F2" w14:textId="77777777" w:rsidR="000A022E" w:rsidRDefault="000A022E" w:rsidP="00AC5590">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05845" w14:textId="77777777" w:rsidR="000A022E" w:rsidRDefault="000A022E" w:rsidP="00AC5590">
    <w:pPr>
      <w:rPr>
        <w:rFonts w:ascii="Lucida Grande" w:hAnsi="Lucida Grande" w:cs="Lucida Grande"/>
        <w:b/>
        <w:color w:val="000000"/>
      </w:rPr>
    </w:pPr>
    <w:r>
      <w:rPr>
        <w:noProof/>
      </w:rPr>
      <w:drawing>
        <wp:anchor distT="0" distB="0" distL="114300" distR="114300" simplePos="0" relativeHeight="251657728" behindDoc="0" locked="0" layoutInCell="1" allowOverlap="1" wp14:anchorId="3138529F" wp14:editId="58C668D7">
          <wp:simplePos x="0" y="0"/>
          <wp:positionH relativeFrom="column">
            <wp:posOffset>0</wp:posOffset>
          </wp:positionH>
          <wp:positionV relativeFrom="paragraph">
            <wp:posOffset>245110</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71B0C" w14:textId="77777777" w:rsidR="000A022E" w:rsidRPr="00A33CC6" w:rsidRDefault="000A022E" w:rsidP="00AC5590">
    <w:pPr>
      <w:tabs>
        <w:tab w:val="right" w:pos="8640"/>
      </w:tabs>
      <w:ind w:right="162"/>
      <w:rPr>
        <w:rFonts w:ascii="Arial Narrow" w:hAnsi="Arial Narrow" w:cs="Arial"/>
        <w:b/>
        <w:color w:val="242A2E"/>
      </w:rPr>
    </w:pPr>
    <w:r>
      <w:rPr>
        <w:noProof/>
      </w:rPr>
      <w:t xml:space="preserve">               </w:t>
    </w:r>
    <w:r>
      <w:rPr>
        <w:rFonts w:ascii="Arial Narrow" w:hAnsi="Arial Narrow" w:cs="Arial"/>
        <w:b/>
        <w:color w:val="242A2E"/>
      </w:rPr>
      <w:t>© Compliance Alliance 2020</w:t>
    </w:r>
    <w:r w:rsidRPr="00C34567">
      <w:rPr>
        <w:rFonts w:ascii="Arial Narrow" w:hAnsi="Arial Narrow" w:cs="Arial"/>
        <w:b/>
        <w:color w:val="242A2E"/>
      </w:rPr>
      <w:tab/>
      <w:t>Page</w:t>
    </w:r>
    <w:r w:rsidRPr="00C34567">
      <w:rPr>
        <w:rFonts w:ascii="Arial Narrow" w:hAnsi="Arial Narrow"/>
        <w:b/>
        <w:color w:val="242A2E"/>
      </w:rPr>
      <w:t xml:space="preserve"> </w:t>
    </w:r>
    <w:r w:rsidRPr="00C34567">
      <w:rPr>
        <w:rFonts w:ascii="Arial Narrow" w:hAnsi="Arial Narrow"/>
        <w:b/>
        <w:color w:val="242A2E"/>
      </w:rPr>
      <w:fldChar w:fldCharType="begin"/>
    </w:r>
    <w:r w:rsidRPr="00C34567">
      <w:rPr>
        <w:rFonts w:ascii="Arial Narrow" w:hAnsi="Arial Narrow"/>
        <w:b/>
        <w:color w:val="242A2E"/>
      </w:rPr>
      <w:instrText xml:space="preserve"> PAGE   \* MERGEFORMAT </w:instrText>
    </w:r>
    <w:r w:rsidRPr="00C34567">
      <w:rPr>
        <w:rFonts w:ascii="Arial Narrow" w:hAnsi="Arial Narrow"/>
        <w:b/>
        <w:color w:val="242A2E"/>
      </w:rPr>
      <w:fldChar w:fldCharType="separate"/>
    </w:r>
    <w:r w:rsidR="005124A1" w:rsidRPr="005124A1">
      <w:rPr>
        <w:rFonts w:ascii="Arial Narrow" w:hAnsi="Arial Narrow"/>
        <w:b/>
        <w:noProof/>
        <w:color w:val="242A2E"/>
        <w:szCs w:val="20"/>
      </w:rPr>
      <w:t>1</w:t>
    </w:r>
    <w:r w:rsidRPr="00C34567">
      <w:rPr>
        <w:rFonts w:ascii="Arial Narrow" w:hAnsi="Arial Narrow"/>
        <w:b/>
        <w:color w:val="242A2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DC61B" w14:textId="77777777" w:rsidR="000A022E" w:rsidRDefault="000A022E" w:rsidP="00C4639C">
      <w:pPr>
        <w:spacing w:after="0" w:line="240" w:lineRule="auto"/>
      </w:pPr>
      <w:r>
        <w:separator/>
      </w:r>
    </w:p>
  </w:footnote>
  <w:footnote w:type="continuationSeparator" w:id="0">
    <w:p w14:paraId="0136AD03" w14:textId="77777777" w:rsidR="000A022E" w:rsidRDefault="000A022E" w:rsidP="00C463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3AD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E2C00"/>
    <w:multiLevelType w:val="hybridMultilevel"/>
    <w:tmpl w:val="8F9E3A64"/>
    <w:lvl w:ilvl="0" w:tplc="6EA2CEF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AE461D"/>
    <w:multiLevelType w:val="hybridMultilevel"/>
    <w:tmpl w:val="F6EA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E6933"/>
    <w:multiLevelType w:val="hybridMultilevel"/>
    <w:tmpl w:val="FA24DF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6C7712"/>
    <w:multiLevelType w:val="hybridMultilevel"/>
    <w:tmpl w:val="D7206586"/>
    <w:lvl w:ilvl="0" w:tplc="F93AF04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3203D33"/>
    <w:multiLevelType w:val="hybridMultilevel"/>
    <w:tmpl w:val="D7206586"/>
    <w:lvl w:ilvl="0" w:tplc="F93AF04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26122811"/>
    <w:multiLevelType w:val="hybridMultilevel"/>
    <w:tmpl w:val="997CCF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BC6DCD"/>
    <w:multiLevelType w:val="hybridMultilevel"/>
    <w:tmpl w:val="235610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530B18"/>
    <w:multiLevelType w:val="hybridMultilevel"/>
    <w:tmpl w:val="7076D0A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39515D2"/>
    <w:multiLevelType w:val="hybridMultilevel"/>
    <w:tmpl w:val="9480A0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5A665D2"/>
    <w:multiLevelType w:val="hybridMultilevel"/>
    <w:tmpl w:val="0B261F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615759F"/>
    <w:multiLevelType w:val="hybridMultilevel"/>
    <w:tmpl w:val="4F746D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7FA365C"/>
    <w:multiLevelType w:val="hybridMultilevel"/>
    <w:tmpl w:val="562685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A0872AA"/>
    <w:multiLevelType w:val="hybridMultilevel"/>
    <w:tmpl w:val="891A3B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285A78"/>
    <w:multiLevelType w:val="hybridMultilevel"/>
    <w:tmpl w:val="28FCA3AE"/>
    <w:lvl w:ilvl="0" w:tplc="DF7294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19D76A1"/>
    <w:multiLevelType w:val="hybridMultilevel"/>
    <w:tmpl w:val="0AC80A32"/>
    <w:lvl w:ilvl="0" w:tplc="9A3EC4D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nsid w:val="426A21E1"/>
    <w:multiLevelType w:val="hybridMultilevel"/>
    <w:tmpl w:val="DDFCC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A63F7"/>
    <w:multiLevelType w:val="hybridMultilevel"/>
    <w:tmpl w:val="8EA86B9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6B66886"/>
    <w:multiLevelType w:val="hybridMultilevel"/>
    <w:tmpl w:val="666EE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7A83D0C"/>
    <w:multiLevelType w:val="hybridMultilevel"/>
    <w:tmpl w:val="8D709BA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BAC46EB"/>
    <w:multiLevelType w:val="hybridMultilevel"/>
    <w:tmpl w:val="D7206586"/>
    <w:lvl w:ilvl="0" w:tplc="F93AF04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4D7702BE"/>
    <w:multiLevelType w:val="hybridMultilevel"/>
    <w:tmpl w:val="C4DE07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011B32"/>
    <w:multiLevelType w:val="hybridMultilevel"/>
    <w:tmpl w:val="151C26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F7041D"/>
    <w:multiLevelType w:val="hybridMultilevel"/>
    <w:tmpl w:val="E354D05C"/>
    <w:lvl w:ilvl="0" w:tplc="388EF96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4107C9"/>
    <w:multiLevelType w:val="hybridMultilevel"/>
    <w:tmpl w:val="41BAD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7080A5B"/>
    <w:multiLevelType w:val="hybridMultilevel"/>
    <w:tmpl w:val="AF6E7AEA"/>
    <w:lvl w:ilvl="0" w:tplc="3A0AFFD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6">
    <w:nsid w:val="573D0E82"/>
    <w:multiLevelType w:val="hybridMultilevel"/>
    <w:tmpl w:val="B986BB3C"/>
    <w:lvl w:ilvl="0" w:tplc="F6BAE534">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7">
    <w:nsid w:val="59A96F5C"/>
    <w:multiLevelType w:val="hybridMultilevel"/>
    <w:tmpl w:val="D7206586"/>
    <w:lvl w:ilvl="0" w:tplc="F93AF04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618D3533"/>
    <w:multiLevelType w:val="hybridMultilevel"/>
    <w:tmpl w:val="D7A21CA8"/>
    <w:lvl w:ilvl="0" w:tplc="388EF96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34F0FC6"/>
    <w:multiLevelType w:val="hybridMultilevel"/>
    <w:tmpl w:val="BB764F0A"/>
    <w:lvl w:ilvl="0" w:tplc="400A3F4C">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0">
    <w:nsid w:val="642B0A5F"/>
    <w:multiLevelType w:val="hybridMultilevel"/>
    <w:tmpl w:val="38D469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5692FB1"/>
    <w:multiLevelType w:val="hybridMultilevel"/>
    <w:tmpl w:val="06507C56"/>
    <w:lvl w:ilvl="0" w:tplc="B32E898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nsid w:val="65FF3937"/>
    <w:multiLevelType w:val="hybridMultilevel"/>
    <w:tmpl w:val="D7206586"/>
    <w:lvl w:ilvl="0" w:tplc="F93AF04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nsid w:val="6D9B1488"/>
    <w:multiLevelType w:val="hybridMultilevel"/>
    <w:tmpl w:val="8FDE9B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16C0788"/>
    <w:multiLevelType w:val="hybridMultilevel"/>
    <w:tmpl w:val="68DC2C16"/>
    <w:lvl w:ilvl="0" w:tplc="388EF96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E6EB0"/>
    <w:multiLevelType w:val="hybridMultilevel"/>
    <w:tmpl w:val="0AC80A32"/>
    <w:lvl w:ilvl="0" w:tplc="9A3EC4D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6">
    <w:nsid w:val="7D713918"/>
    <w:multiLevelType w:val="hybridMultilevel"/>
    <w:tmpl w:val="41BAD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EA13EF7"/>
    <w:multiLevelType w:val="hybridMultilevel"/>
    <w:tmpl w:val="8BEC49F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0"/>
  </w:num>
  <w:num w:numId="15">
    <w:abstractNumId w:val="1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3"/>
  </w:num>
  <w:num w:numId="23">
    <w:abstractNumId w:val="6"/>
  </w:num>
  <w:num w:numId="24">
    <w:abstractNumId w:val="18"/>
  </w:num>
  <w:num w:numId="25">
    <w:abstractNumId w:val="32"/>
  </w:num>
  <w:num w:numId="26">
    <w:abstractNumId w:val="5"/>
  </w:num>
  <w:num w:numId="27">
    <w:abstractNumId w:val="27"/>
  </w:num>
  <w:num w:numId="28">
    <w:abstractNumId w:val="0"/>
  </w:num>
  <w:num w:numId="29">
    <w:abstractNumId w:val="31"/>
  </w:num>
  <w:num w:numId="30">
    <w:abstractNumId w:val="35"/>
  </w:num>
  <w:num w:numId="31">
    <w:abstractNumId w:val="25"/>
  </w:num>
  <w:num w:numId="32">
    <w:abstractNumId w:val="1"/>
  </w:num>
  <w:num w:numId="33">
    <w:abstractNumId w:val="29"/>
  </w:num>
  <w:num w:numId="34">
    <w:abstractNumId w:val="26"/>
  </w:num>
  <w:num w:numId="35">
    <w:abstractNumId w:val="28"/>
  </w:num>
  <w:num w:numId="36">
    <w:abstractNumId w:val="23"/>
  </w:num>
  <w:num w:numId="37">
    <w:abstractNumId w:val="34"/>
  </w:num>
  <w:num w:numId="38">
    <w:abstractNumId w:val="15"/>
  </w:num>
  <w:num w:numId="39">
    <w:abstractNumId w:val="16"/>
  </w:num>
  <w:num w:numId="40">
    <w:abstractNumId w:val="3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9C"/>
    <w:rsid w:val="00001052"/>
    <w:rsid w:val="00043CC9"/>
    <w:rsid w:val="000709BD"/>
    <w:rsid w:val="00071450"/>
    <w:rsid w:val="00072521"/>
    <w:rsid w:val="00082375"/>
    <w:rsid w:val="00096ED5"/>
    <w:rsid w:val="000A022E"/>
    <w:rsid w:val="000A40AF"/>
    <w:rsid w:val="000A47B7"/>
    <w:rsid w:val="000B7B35"/>
    <w:rsid w:val="000C1CD1"/>
    <w:rsid w:val="000C4AE7"/>
    <w:rsid w:val="000D183A"/>
    <w:rsid w:val="000D2FC7"/>
    <w:rsid w:val="000D739A"/>
    <w:rsid w:val="000F43B6"/>
    <w:rsid w:val="000F6E4C"/>
    <w:rsid w:val="0010616B"/>
    <w:rsid w:val="001160DA"/>
    <w:rsid w:val="00126ECA"/>
    <w:rsid w:val="0013592E"/>
    <w:rsid w:val="00136C88"/>
    <w:rsid w:val="001371EF"/>
    <w:rsid w:val="00150AC0"/>
    <w:rsid w:val="0017467A"/>
    <w:rsid w:val="001749EF"/>
    <w:rsid w:val="00177D13"/>
    <w:rsid w:val="001976AC"/>
    <w:rsid w:val="001A0154"/>
    <w:rsid w:val="001B45FE"/>
    <w:rsid w:val="001D1BF1"/>
    <w:rsid w:val="001F6EFD"/>
    <w:rsid w:val="001F7119"/>
    <w:rsid w:val="002068C4"/>
    <w:rsid w:val="002161B7"/>
    <w:rsid w:val="002201FD"/>
    <w:rsid w:val="00235491"/>
    <w:rsid w:val="00240B02"/>
    <w:rsid w:val="00243D56"/>
    <w:rsid w:val="00257419"/>
    <w:rsid w:val="00260344"/>
    <w:rsid w:val="00271866"/>
    <w:rsid w:val="00275504"/>
    <w:rsid w:val="00283E6C"/>
    <w:rsid w:val="002904F9"/>
    <w:rsid w:val="002B29DF"/>
    <w:rsid w:val="003113AB"/>
    <w:rsid w:val="003601B7"/>
    <w:rsid w:val="00367BAB"/>
    <w:rsid w:val="00382ECC"/>
    <w:rsid w:val="003B07BE"/>
    <w:rsid w:val="003C6A24"/>
    <w:rsid w:val="003C77C5"/>
    <w:rsid w:val="003D6538"/>
    <w:rsid w:val="00410947"/>
    <w:rsid w:val="00421933"/>
    <w:rsid w:val="0042305C"/>
    <w:rsid w:val="00434DE9"/>
    <w:rsid w:val="00437C6D"/>
    <w:rsid w:val="00452DD8"/>
    <w:rsid w:val="00457D82"/>
    <w:rsid w:val="00471492"/>
    <w:rsid w:val="0048401B"/>
    <w:rsid w:val="00491B2D"/>
    <w:rsid w:val="00494074"/>
    <w:rsid w:val="004A133D"/>
    <w:rsid w:val="004A5CEF"/>
    <w:rsid w:val="004A7C13"/>
    <w:rsid w:val="004B507B"/>
    <w:rsid w:val="004B7825"/>
    <w:rsid w:val="004C261D"/>
    <w:rsid w:val="004C2D0D"/>
    <w:rsid w:val="004D118F"/>
    <w:rsid w:val="004D54A4"/>
    <w:rsid w:val="004F5E1C"/>
    <w:rsid w:val="00507D0C"/>
    <w:rsid w:val="00511013"/>
    <w:rsid w:val="00512335"/>
    <w:rsid w:val="005124A1"/>
    <w:rsid w:val="005155F9"/>
    <w:rsid w:val="005179A3"/>
    <w:rsid w:val="005208A7"/>
    <w:rsid w:val="00525F17"/>
    <w:rsid w:val="00533FC0"/>
    <w:rsid w:val="005378D2"/>
    <w:rsid w:val="00545449"/>
    <w:rsid w:val="00551AF6"/>
    <w:rsid w:val="0055227D"/>
    <w:rsid w:val="0055483B"/>
    <w:rsid w:val="0056349E"/>
    <w:rsid w:val="00566170"/>
    <w:rsid w:val="00566EC7"/>
    <w:rsid w:val="005718FB"/>
    <w:rsid w:val="00590BFC"/>
    <w:rsid w:val="00597270"/>
    <w:rsid w:val="005B686B"/>
    <w:rsid w:val="005D0436"/>
    <w:rsid w:val="005D0D5B"/>
    <w:rsid w:val="005F7C22"/>
    <w:rsid w:val="00630402"/>
    <w:rsid w:val="00642DA9"/>
    <w:rsid w:val="00645D0C"/>
    <w:rsid w:val="00656AE1"/>
    <w:rsid w:val="00661FA1"/>
    <w:rsid w:val="006803A1"/>
    <w:rsid w:val="00681B98"/>
    <w:rsid w:val="0068634C"/>
    <w:rsid w:val="00690514"/>
    <w:rsid w:val="00690C57"/>
    <w:rsid w:val="006A106E"/>
    <w:rsid w:val="006E53B3"/>
    <w:rsid w:val="007074E0"/>
    <w:rsid w:val="00713324"/>
    <w:rsid w:val="00714B37"/>
    <w:rsid w:val="0073726C"/>
    <w:rsid w:val="007404A0"/>
    <w:rsid w:val="0077099D"/>
    <w:rsid w:val="007719A9"/>
    <w:rsid w:val="0077287F"/>
    <w:rsid w:val="00772DA9"/>
    <w:rsid w:val="007802EE"/>
    <w:rsid w:val="007909B5"/>
    <w:rsid w:val="007A706D"/>
    <w:rsid w:val="007B556E"/>
    <w:rsid w:val="007C4171"/>
    <w:rsid w:val="007C4518"/>
    <w:rsid w:val="007D649E"/>
    <w:rsid w:val="007E0D4D"/>
    <w:rsid w:val="00805318"/>
    <w:rsid w:val="00807402"/>
    <w:rsid w:val="00815BE4"/>
    <w:rsid w:val="0083306C"/>
    <w:rsid w:val="0083543A"/>
    <w:rsid w:val="00867FE5"/>
    <w:rsid w:val="00872923"/>
    <w:rsid w:val="008C0DF6"/>
    <w:rsid w:val="008C4881"/>
    <w:rsid w:val="008C6588"/>
    <w:rsid w:val="008F2CB7"/>
    <w:rsid w:val="008F5247"/>
    <w:rsid w:val="008F7EB5"/>
    <w:rsid w:val="00902DAD"/>
    <w:rsid w:val="0091056C"/>
    <w:rsid w:val="00944663"/>
    <w:rsid w:val="00972BAA"/>
    <w:rsid w:val="009744BF"/>
    <w:rsid w:val="00981906"/>
    <w:rsid w:val="009900BD"/>
    <w:rsid w:val="00990D5D"/>
    <w:rsid w:val="00993925"/>
    <w:rsid w:val="009948E9"/>
    <w:rsid w:val="009A6EDF"/>
    <w:rsid w:val="009B4593"/>
    <w:rsid w:val="009C110A"/>
    <w:rsid w:val="009C29CB"/>
    <w:rsid w:val="009D0701"/>
    <w:rsid w:val="009D586F"/>
    <w:rsid w:val="009E048B"/>
    <w:rsid w:val="009E4C6F"/>
    <w:rsid w:val="009F3789"/>
    <w:rsid w:val="009F6C09"/>
    <w:rsid w:val="00A04C3B"/>
    <w:rsid w:val="00A20A95"/>
    <w:rsid w:val="00A33CC6"/>
    <w:rsid w:val="00A6062E"/>
    <w:rsid w:val="00A84BCC"/>
    <w:rsid w:val="00AC5590"/>
    <w:rsid w:val="00AC5C7C"/>
    <w:rsid w:val="00AD2ACE"/>
    <w:rsid w:val="00AF3D3A"/>
    <w:rsid w:val="00AF652F"/>
    <w:rsid w:val="00B02C90"/>
    <w:rsid w:val="00B04651"/>
    <w:rsid w:val="00B12F3C"/>
    <w:rsid w:val="00B16510"/>
    <w:rsid w:val="00B16961"/>
    <w:rsid w:val="00B200CB"/>
    <w:rsid w:val="00B32A65"/>
    <w:rsid w:val="00B343B4"/>
    <w:rsid w:val="00B45199"/>
    <w:rsid w:val="00B87537"/>
    <w:rsid w:val="00B95CEF"/>
    <w:rsid w:val="00BB3616"/>
    <w:rsid w:val="00BC0BEC"/>
    <w:rsid w:val="00BC2167"/>
    <w:rsid w:val="00BD1BA0"/>
    <w:rsid w:val="00BE28BC"/>
    <w:rsid w:val="00BF07D4"/>
    <w:rsid w:val="00BF7911"/>
    <w:rsid w:val="00C132A5"/>
    <w:rsid w:val="00C25DDC"/>
    <w:rsid w:val="00C26325"/>
    <w:rsid w:val="00C26739"/>
    <w:rsid w:val="00C33F08"/>
    <w:rsid w:val="00C459C7"/>
    <w:rsid w:val="00C4639C"/>
    <w:rsid w:val="00C53CB3"/>
    <w:rsid w:val="00C71CE6"/>
    <w:rsid w:val="00C77C05"/>
    <w:rsid w:val="00C962AC"/>
    <w:rsid w:val="00C9715F"/>
    <w:rsid w:val="00CA73EE"/>
    <w:rsid w:val="00CB29BF"/>
    <w:rsid w:val="00CC2A12"/>
    <w:rsid w:val="00CD2196"/>
    <w:rsid w:val="00CD3E00"/>
    <w:rsid w:val="00CD4FD8"/>
    <w:rsid w:val="00CE7239"/>
    <w:rsid w:val="00CF1921"/>
    <w:rsid w:val="00D13E1B"/>
    <w:rsid w:val="00D21175"/>
    <w:rsid w:val="00D27D2B"/>
    <w:rsid w:val="00D35E44"/>
    <w:rsid w:val="00D37F22"/>
    <w:rsid w:val="00D46A14"/>
    <w:rsid w:val="00D47E88"/>
    <w:rsid w:val="00D56C8D"/>
    <w:rsid w:val="00D60588"/>
    <w:rsid w:val="00D635DE"/>
    <w:rsid w:val="00D65E38"/>
    <w:rsid w:val="00D75803"/>
    <w:rsid w:val="00DA5B88"/>
    <w:rsid w:val="00DB5E26"/>
    <w:rsid w:val="00DC6468"/>
    <w:rsid w:val="00DE7EE4"/>
    <w:rsid w:val="00DF4ABC"/>
    <w:rsid w:val="00E0238A"/>
    <w:rsid w:val="00E367DC"/>
    <w:rsid w:val="00E527AC"/>
    <w:rsid w:val="00E63F0D"/>
    <w:rsid w:val="00E75F87"/>
    <w:rsid w:val="00E81637"/>
    <w:rsid w:val="00E82B8D"/>
    <w:rsid w:val="00E916ED"/>
    <w:rsid w:val="00E93DC7"/>
    <w:rsid w:val="00E9780F"/>
    <w:rsid w:val="00EC20D1"/>
    <w:rsid w:val="00EE7CED"/>
    <w:rsid w:val="00F30D5F"/>
    <w:rsid w:val="00F373E3"/>
    <w:rsid w:val="00F4559C"/>
    <w:rsid w:val="00F716AA"/>
    <w:rsid w:val="00F73212"/>
    <w:rsid w:val="00F83AC5"/>
    <w:rsid w:val="00F92F7A"/>
    <w:rsid w:val="00F933C2"/>
    <w:rsid w:val="00FA571E"/>
    <w:rsid w:val="00FB15EF"/>
    <w:rsid w:val="00FE4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B07E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463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639C"/>
    <w:rPr>
      <w:color w:val="0000FF"/>
      <w:u w:val="single"/>
    </w:rPr>
  </w:style>
  <w:style w:type="paragraph" w:styleId="FootnoteText">
    <w:name w:val="footnote text"/>
    <w:basedOn w:val="Normal"/>
    <w:link w:val="FootnoteTextChar"/>
    <w:uiPriority w:val="99"/>
    <w:semiHidden/>
    <w:unhideWhenUsed/>
    <w:rsid w:val="00C4639C"/>
    <w:pPr>
      <w:spacing w:after="0" w:line="240" w:lineRule="auto"/>
    </w:pPr>
    <w:rPr>
      <w:sz w:val="20"/>
      <w:szCs w:val="20"/>
      <w:lang w:val="x-none" w:eastAsia="x-none"/>
    </w:rPr>
  </w:style>
  <w:style w:type="character" w:customStyle="1" w:styleId="FootnoteTextChar">
    <w:name w:val="Footnote Text Char"/>
    <w:link w:val="FootnoteText"/>
    <w:uiPriority w:val="99"/>
    <w:semiHidden/>
    <w:rsid w:val="00C4639C"/>
    <w:rPr>
      <w:rFonts w:ascii="Calibri" w:eastAsia="Calibri" w:hAnsi="Calibri" w:cs="Times New Roman"/>
      <w:sz w:val="20"/>
      <w:szCs w:val="20"/>
      <w:lang w:val="x-none" w:eastAsia="x-none"/>
    </w:rPr>
  </w:style>
  <w:style w:type="paragraph" w:customStyle="1" w:styleId="MediumGrid21">
    <w:name w:val="Medium Grid 21"/>
    <w:uiPriority w:val="1"/>
    <w:qFormat/>
    <w:rsid w:val="00C4639C"/>
    <w:rPr>
      <w:sz w:val="22"/>
      <w:szCs w:val="22"/>
    </w:rPr>
  </w:style>
  <w:style w:type="paragraph" w:customStyle="1" w:styleId="MediumGrid1-Accent21">
    <w:name w:val="Medium Grid 1 - Accent 21"/>
    <w:basedOn w:val="Normal"/>
    <w:uiPriority w:val="34"/>
    <w:qFormat/>
    <w:rsid w:val="00C4639C"/>
    <w:pPr>
      <w:ind w:left="720"/>
      <w:contextualSpacing/>
    </w:pPr>
  </w:style>
  <w:style w:type="paragraph" w:customStyle="1" w:styleId="Default">
    <w:name w:val="Default"/>
    <w:rsid w:val="00C4639C"/>
    <w:pPr>
      <w:autoSpaceDE w:val="0"/>
      <w:autoSpaceDN w:val="0"/>
      <w:adjustRightInd w:val="0"/>
    </w:pPr>
    <w:rPr>
      <w:rFonts w:ascii="Arial" w:hAnsi="Arial" w:cs="Arial"/>
      <w:color w:val="000000"/>
      <w:sz w:val="24"/>
      <w:szCs w:val="24"/>
    </w:rPr>
  </w:style>
  <w:style w:type="character" w:styleId="FootnoteReference">
    <w:name w:val="footnote reference"/>
    <w:uiPriority w:val="99"/>
    <w:semiHidden/>
    <w:unhideWhenUsed/>
    <w:rsid w:val="00C4639C"/>
    <w:rPr>
      <w:vertAlign w:val="superscript"/>
    </w:rPr>
  </w:style>
  <w:style w:type="character" w:styleId="FollowedHyperlink">
    <w:name w:val="FollowedHyperlink"/>
    <w:uiPriority w:val="99"/>
    <w:semiHidden/>
    <w:unhideWhenUsed/>
    <w:rsid w:val="00C4639C"/>
    <w:rPr>
      <w:color w:val="800080"/>
      <w:u w:val="single"/>
    </w:rPr>
  </w:style>
  <w:style w:type="paragraph" w:styleId="Header">
    <w:name w:val="header"/>
    <w:basedOn w:val="Normal"/>
    <w:link w:val="HeaderChar"/>
    <w:uiPriority w:val="99"/>
    <w:unhideWhenUsed/>
    <w:rsid w:val="00AC5590"/>
    <w:pPr>
      <w:tabs>
        <w:tab w:val="center" w:pos="4320"/>
        <w:tab w:val="right" w:pos="8640"/>
      </w:tabs>
    </w:pPr>
    <w:rPr>
      <w:lang w:val="x-none" w:eastAsia="x-none"/>
    </w:rPr>
  </w:style>
  <w:style w:type="character" w:customStyle="1" w:styleId="HeaderChar">
    <w:name w:val="Header Char"/>
    <w:link w:val="Header"/>
    <w:uiPriority w:val="99"/>
    <w:rsid w:val="00AC5590"/>
    <w:rPr>
      <w:sz w:val="22"/>
      <w:szCs w:val="22"/>
    </w:rPr>
  </w:style>
  <w:style w:type="paragraph" w:styleId="Footer">
    <w:name w:val="footer"/>
    <w:basedOn w:val="Normal"/>
    <w:link w:val="FooterChar"/>
    <w:uiPriority w:val="99"/>
    <w:unhideWhenUsed/>
    <w:rsid w:val="00AC5590"/>
    <w:pPr>
      <w:tabs>
        <w:tab w:val="center" w:pos="4320"/>
        <w:tab w:val="right" w:pos="8640"/>
      </w:tabs>
    </w:pPr>
    <w:rPr>
      <w:lang w:val="x-none" w:eastAsia="x-none"/>
    </w:rPr>
  </w:style>
  <w:style w:type="character" w:customStyle="1" w:styleId="FooterChar">
    <w:name w:val="Footer Char"/>
    <w:link w:val="Footer"/>
    <w:uiPriority w:val="99"/>
    <w:rsid w:val="00AC5590"/>
    <w:rPr>
      <w:sz w:val="22"/>
      <w:szCs w:val="22"/>
    </w:rPr>
  </w:style>
  <w:style w:type="table" w:styleId="LightShading-Accent3">
    <w:name w:val="Light Shading Accent 3"/>
    <w:basedOn w:val="TableNormal"/>
    <w:uiPriority w:val="60"/>
    <w:rsid w:val="009C110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1B45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45FE"/>
    <w:rPr>
      <w:rFonts w:ascii="Tahoma" w:hAnsi="Tahoma" w:cs="Tahoma"/>
      <w:sz w:val="16"/>
      <w:szCs w:val="16"/>
    </w:rPr>
  </w:style>
  <w:style w:type="paragraph" w:styleId="ListParagraph">
    <w:name w:val="List Paragraph"/>
    <w:basedOn w:val="Normal"/>
    <w:uiPriority w:val="34"/>
    <w:qFormat/>
    <w:rsid w:val="00C71C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463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639C"/>
    <w:rPr>
      <w:color w:val="0000FF"/>
      <w:u w:val="single"/>
    </w:rPr>
  </w:style>
  <w:style w:type="paragraph" w:styleId="FootnoteText">
    <w:name w:val="footnote text"/>
    <w:basedOn w:val="Normal"/>
    <w:link w:val="FootnoteTextChar"/>
    <w:uiPriority w:val="99"/>
    <w:semiHidden/>
    <w:unhideWhenUsed/>
    <w:rsid w:val="00C4639C"/>
    <w:pPr>
      <w:spacing w:after="0" w:line="240" w:lineRule="auto"/>
    </w:pPr>
    <w:rPr>
      <w:sz w:val="20"/>
      <w:szCs w:val="20"/>
      <w:lang w:val="x-none" w:eastAsia="x-none"/>
    </w:rPr>
  </w:style>
  <w:style w:type="character" w:customStyle="1" w:styleId="FootnoteTextChar">
    <w:name w:val="Footnote Text Char"/>
    <w:link w:val="FootnoteText"/>
    <w:uiPriority w:val="99"/>
    <w:semiHidden/>
    <w:rsid w:val="00C4639C"/>
    <w:rPr>
      <w:rFonts w:ascii="Calibri" w:eastAsia="Calibri" w:hAnsi="Calibri" w:cs="Times New Roman"/>
      <w:sz w:val="20"/>
      <w:szCs w:val="20"/>
      <w:lang w:val="x-none" w:eastAsia="x-none"/>
    </w:rPr>
  </w:style>
  <w:style w:type="paragraph" w:customStyle="1" w:styleId="MediumGrid21">
    <w:name w:val="Medium Grid 21"/>
    <w:uiPriority w:val="1"/>
    <w:qFormat/>
    <w:rsid w:val="00C4639C"/>
    <w:rPr>
      <w:sz w:val="22"/>
      <w:szCs w:val="22"/>
    </w:rPr>
  </w:style>
  <w:style w:type="paragraph" w:customStyle="1" w:styleId="MediumGrid1-Accent21">
    <w:name w:val="Medium Grid 1 - Accent 21"/>
    <w:basedOn w:val="Normal"/>
    <w:uiPriority w:val="34"/>
    <w:qFormat/>
    <w:rsid w:val="00C4639C"/>
    <w:pPr>
      <w:ind w:left="720"/>
      <w:contextualSpacing/>
    </w:pPr>
  </w:style>
  <w:style w:type="paragraph" w:customStyle="1" w:styleId="Default">
    <w:name w:val="Default"/>
    <w:rsid w:val="00C4639C"/>
    <w:pPr>
      <w:autoSpaceDE w:val="0"/>
      <w:autoSpaceDN w:val="0"/>
      <w:adjustRightInd w:val="0"/>
    </w:pPr>
    <w:rPr>
      <w:rFonts w:ascii="Arial" w:hAnsi="Arial" w:cs="Arial"/>
      <w:color w:val="000000"/>
      <w:sz w:val="24"/>
      <w:szCs w:val="24"/>
    </w:rPr>
  </w:style>
  <w:style w:type="character" w:styleId="FootnoteReference">
    <w:name w:val="footnote reference"/>
    <w:uiPriority w:val="99"/>
    <w:semiHidden/>
    <w:unhideWhenUsed/>
    <w:rsid w:val="00C4639C"/>
    <w:rPr>
      <w:vertAlign w:val="superscript"/>
    </w:rPr>
  </w:style>
  <w:style w:type="character" w:styleId="FollowedHyperlink">
    <w:name w:val="FollowedHyperlink"/>
    <w:uiPriority w:val="99"/>
    <w:semiHidden/>
    <w:unhideWhenUsed/>
    <w:rsid w:val="00C4639C"/>
    <w:rPr>
      <w:color w:val="800080"/>
      <w:u w:val="single"/>
    </w:rPr>
  </w:style>
  <w:style w:type="paragraph" w:styleId="Header">
    <w:name w:val="header"/>
    <w:basedOn w:val="Normal"/>
    <w:link w:val="HeaderChar"/>
    <w:uiPriority w:val="99"/>
    <w:unhideWhenUsed/>
    <w:rsid w:val="00AC5590"/>
    <w:pPr>
      <w:tabs>
        <w:tab w:val="center" w:pos="4320"/>
        <w:tab w:val="right" w:pos="8640"/>
      </w:tabs>
    </w:pPr>
    <w:rPr>
      <w:lang w:val="x-none" w:eastAsia="x-none"/>
    </w:rPr>
  </w:style>
  <w:style w:type="character" w:customStyle="1" w:styleId="HeaderChar">
    <w:name w:val="Header Char"/>
    <w:link w:val="Header"/>
    <w:uiPriority w:val="99"/>
    <w:rsid w:val="00AC5590"/>
    <w:rPr>
      <w:sz w:val="22"/>
      <w:szCs w:val="22"/>
    </w:rPr>
  </w:style>
  <w:style w:type="paragraph" w:styleId="Footer">
    <w:name w:val="footer"/>
    <w:basedOn w:val="Normal"/>
    <w:link w:val="FooterChar"/>
    <w:uiPriority w:val="99"/>
    <w:unhideWhenUsed/>
    <w:rsid w:val="00AC5590"/>
    <w:pPr>
      <w:tabs>
        <w:tab w:val="center" w:pos="4320"/>
        <w:tab w:val="right" w:pos="8640"/>
      </w:tabs>
    </w:pPr>
    <w:rPr>
      <w:lang w:val="x-none" w:eastAsia="x-none"/>
    </w:rPr>
  </w:style>
  <w:style w:type="character" w:customStyle="1" w:styleId="FooterChar">
    <w:name w:val="Footer Char"/>
    <w:link w:val="Footer"/>
    <w:uiPriority w:val="99"/>
    <w:rsid w:val="00AC5590"/>
    <w:rPr>
      <w:sz w:val="22"/>
      <w:szCs w:val="22"/>
    </w:rPr>
  </w:style>
  <w:style w:type="table" w:styleId="LightShading-Accent3">
    <w:name w:val="Light Shading Accent 3"/>
    <w:basedOn w:val="TableNormal"/>
    <w:uiPriority w:val="60"/>
    <w:rsid w:val="009C110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1B45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45FE"/>
    <w:rPr>
      <w:rFonts w:ascii="Tahoma" w:hAnsi="Tahoma" w:cs="Tahoma"/>
      <w:sz w:val="16"/>
      <w:szCs w:val="16"/>
    </w:rPr>
  </w:style>
  <w:style w:type="paragraph" w:styleId="ListParagraph">
    <w:name w:val="List Paragraph"/>
    <w:basedOn w:val="Normal"/>
    <w:uiPriority w:val="34"/>
    <w:qFormat/>
    <w:rsid w:val="00C71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5366">
      <w:bodyDiv w:val="1"/>
      <w:marLeft w:val="0"/>
      <w:marRight w:val="0"/>
      <w:marTop w:val="0"/>
      <w:marBottom w:val="0"/>
      <w:divBdr>
        <w:top w:val="none" w:sz="0" w:space="0" w:color="auto"/>
        <w:left w:val="none" w:sz="0" w:space="0" w:color="auto"/>
        <w:bottom w:val="none" w:sz="0" w:space="0" w:color="auto"/>
        <w:right w:val="none" w:sz="0" w:space="0" w:color="auto"/>
      </w:divBdr>
    </w:div>
    <w:div w:id="253907086">
      <w:bodyDiv w:val="1"/>
      <w:marLeft w:val="0"/>
      <w:marRight w:val="0"/>
      <w:marTop w:val="0"/>
      <w:marBottom w:val="0"/>
      <w:divBdr>
        <w:top w:val="none" w:sz="0" w:space="0" w:color="auto"/>
        <w:left w:val="none" w:sz="0" w:space="0" w:color="auto"/>
        <w:bottom w:val="none" w:sz="0" w:space="0" w:color="auto"/>
        <w:right w:val="none" w:sz="0" w:space="0" w:color="auto"/>
      </w:divBdr>
    </w:div>
    <w:div w:id="365451968">
      <w:bodyDiv w:val="1"/>
      <w:marLeft w:val="0"/>
      <w:marRight w:val="0"/>
      <w:marTop w:val="0"/>
      <w:marBottom w:val="0"/>
      <w:divBdr>
        <w:top w:val="none" w:sz="0" w:space="0" w:color="auto"/>
        <w:left w:val="none" w:sz="0" w:space="0" w:color="auto"/>
        <w:bottom w:val="none" w:sz="0" w:space="0" w:color="auto"/>
        <w:right w:val="none" w:sz="0" w:space="0" w:color="auto"/>
      </w:divBdr>
    </w:div>
    <w:div w:id="469176707">
      <w:bodyDiv w:val="1"/>
      <w:marLeft w:val="0"/>
      <w:marRight w:val="0"/>
      <w:marTop w:val="0"/>
      <w:marBottom w:val="0"/>
      <w:divBdr>
        <w:top w:val="none" w:sz="0" w:space="0" w:color="auto"/>
        <w:left w:val="none" w:sz="0" w:space="0" w:color="auto"/>
        <w:bottom w:val="none" w:sz="0" w:space="0" w:color="auto"/>
        <w:right w:val="none" w:sz="0" w:space="0" w:color="auto"/>
      </w:divBdr>
    </w:div>
    <w:div w:id="533229907">
      <w:bodyDiv w:val="1"/>
      <w:marLeft w:val="0"/>
      <w:marRight w:val="0"/>
      <w:marTop w:val="0"/>
      <w:marBottom w:val="0"/>
      <w:divBdr>
        <w:top w:val="none" w:sz="0" w:space="0" w:color="auto"/>
        <w:left w:val="none" w:sz="0" w:space="0" w:color="auto"/>
        <w:bottom w:val="none" w:sz="0" w:space="0" w:color="auto"/>
        <w:right w:val="none" w:sz="0" w:space="0" w:color="auto"/>
      </w:divBdr>
    </w:div>
    <w:div w:id="564993521">
      <w:bodyDiv w:val="1"/>
      <w:marLeft w:val="0"/>
      <w:marRight w:val="0"/>
      <w:marTop w:val="0"/>
      <w:marBottom w:val="0"/>
      <w:divBdr>
        <w:top w:val="none" w:sz="0" w:space="0" w:color="auto"/>
        <w:left w:val="none" w:sz="0" w:space="0" w:color="auto"/>
        <w:bottom w:val="none" w:sz="0" w:space="0" w:color="auto"/>
        <w:right w:val="none" w:sz="0" w:space="0" w:color="auto"/>
      </w:divBdr>
    </w:div>
    <w:div w:id="619998905">
      <w:bodyDiv w:val="1"/>
      <w:marLeft w:val="0"/>
      <w:marRight w:val="0"/>
      <w:marTop w:val="0"/>
      <w:marBottom w:val="0"/>
      <w:divBdr>
        <w:top w:val="none" w:sz="0" w:space="0" w:color="auto"/>
        <w:left w:val="none" w:sz="0" w:space="0" w:color="auto"/>
        <w:bottom w:val="none" w:sz="0" w:space="0" w:color="auto"/>
        <w:right w:val="none" w:sz="0" w:space="0" w:color="auto"/>
      </w:divBdr>
    </w:div>
    <w:div w:id="703293329">
      <w:bodyDiv w:val="1"/>
      <w:marLeft w:val="0"/>
      <w:marRight w:val="0"/>
      <w:marTop w:val="0"/>
      <w:marBottom w:val="0"/>
      <w:divBdr>
        <w:top w:val="none" w:sz="0" w:space="0" w:color="auto"/>
        <w:left w:val="none" w:sz="0" w:space="0" w:color="auto"/>
        <w:bottom w:val="none" w:sz="0" w:space="0" w:color="auto"/>
        <w:right w:val="none" w:sz="0" w:space="0" w:color="auto"/>
      </w:divBdr>
    </w:div>
    <w:div w:id="768507177">
      <w:bodyDiv w:val="1"/>
      <w:marLeft w:val="0"/>
      <w:marRight w:val="0"/>
      <w:marTop w:val="0"/>
      <w:marBottom w:val="0"/>
      <w:divBdr>
        <w:top w:val="none" w:sz="0" w:space="0" w:color="auto"/>
        <w:left w:val="none" w:sz="0" w:space="0" w:color="auto"/>
        <w:bottom w:val="none" w:sz="0" w:space="0" w:color="auto"/>
        <w:right w:val="none" w:sz="0" w:space="0" w:color="auto"/>
      </w:divBdr>
    </w:div>
    <w:div w:id="896629593">
      <w:bodyDiv w:val="1"/>
      <w:marLeft w:val="0"/>
      <w:marRight w:val="0"/>
      <w:marTop w:val="0"/>
      <w:marBottom w:val="0"/>
      <w:divBdr>
        <w:top w:val="none" w:sz="0" w:space="0" w:color="auto"/>
        <w:left w:val="none" w:sz="0" w:space="0" w:color="auto"/>
        <w:bottom w:val="none" w:sz="0" w:space="0" w:color="auto"/>
        <w:right w:val="none" w:sz="0" w:space="0" w:color="auto"/>
      </w:divBdr>
    </w:div>
    <w:div w:id="984967436">
      <w:bodyDiv w:val="1"/>
      <w:marLeft w:val="0"/>
      <w:marRight w:val="0"/>
      <w:marTop w:val="0"/>
      <w:marBottom w:val="0"/>
      <w:divBdr>
        <w:top w:val="none" w:sz="0" w:space="0" w:color="auto"/>
        <w:left w:val="none" w:sz="0" w:space="0" w:color="auto"/>
        <w:bottom w:val="none" w:sz="0" w:space="0" w:color="auto"/>
        <w:right w:val="none" w:sz="0" w:space="0" w:color="auto"/>
      </w:divBdr>
    </w:div>
    <w:div w:id="1201015124">
      <w:bodyDiv w:val="1"/>
      <w:marLeft w:val="0"/>
      <w:marRight w:val="0"/>
      <w:marTop w:val="0"/>
      <w:marBottom w:val="0"/>
      <w:divBdr>
        <w:top w:val="none" w:sz="0" w:space="0" w:color="auto"/>
        <w:left w:val="none" w:sz="0" w:space="0" w:color="auto"/>
        <w:bottom w:val="none" w:sz="0" w:space="0" w:color="auto"/>
        <w:right w:val="none" w:sz="0" w:space="0" w:color="auto"/>
      </w:divBdr>
    </w:div>
    <w:div w:id="1264189987">
      <w:bodyDiv w:val="1"/>
      <w:marLeft w:val="0"/>
      <w:marRight w:val="0"/>
      <w:marTop w:val="0"/>
      <w:marBottom w:val="0"/>
      <w:divBdr>
        <w:top w:val="none" w:sz="0" w:space="0" w:color="auto"/>
        <w:left w:val="none" w:sz="0" w:space="0" w:color="auto"/>
        <w:bottom w:val="none" w:sz="0" w:space="0" w:color="auto"/>
        <w:right w:val="none" w:sz="0" w:space="0" w:color="auto"/>
      </w:divBdr>
    </w:div>
    <w:div w:id="1271015650">
      <w:bodyDiv w:val="1"/>
      <w:marLeft w:val="0"/>
      <w:marRight w:val="0"/>
      <w:marTop w:val="0"/>
      <w:marBottom w:val="0"/>
      <w:divBdr>
        <w:top w:val="none" w:sz="0" w:space="0" w:color="auto"/>
        <w:left w:val="none" w:sz="0" w:space="0" w:color="auto"/>
        <w:bottom w:val="none" w:sz="0" w:space="0" w:color="auto"/>
        <w:right w:val="none" w:sz="0" w:space="0" w:color="auto"/>
      </w:divBdr>
    </w:div>
    <w:div w:id="1313292582">
      <w:bodyDiv w:val="1"/>
      <w:marLeft w:val="0"/>
      <w:marRight w:val="0"/>
      <w:marTop w:val="0"/>
      <w:marBottom w:val="0"/>
      <w:divBdr>
        <w:top w:val="none" w:sz="0" w:space="0" w:color="auto"/>
        <w:left w:val="none" w:sz="0" w:space="0" w:color="auto"/>
        <w:bottom w:val="none" w:sz="0" w:space="0" w:color="auto"/>
        <w:right w:val="none" w:sz="0" w:space="0" w:color="auto"/>
      </w:divBdr>
    </w:div>
    <w:div w:id="1364360324">
      <w:bodyDiv w:val="1"/>
      <w:marLeft w:val="0"/>
      <w:marRight w:val="0"/>
      <w:marTop w:val="0"/>
      <w:marBottom w:val="0"/>
      <w:divBdr>
        <w:top w:val="none" w:sz="0" w:space="0" w:color="auto"/>
        <w:left w:val="none" w:sz="0" w:space="0" w:color="auto"/>
        <w:bottom w:val="none" w:sz="0" w:space="0" w:color="auto"/>
        <w:right w:val="none" w:sz="0" w:space="0" w:color="auto"/>
      </w:divBdr>
    </w:div>
    <w:div w:id="1382630175">
      <w:bodyDiv w:val="1"/>
      <w:marLeft w:val="0"/>
      <w:marRight w:val="0"/>
      <w:marTop w:val="0"/>
      <w:marBottom w:val="0"/>
      <w:divBdr>
        <w:top w:val="none" w:sz="0" w:space="0" w:color="auto"/>
        <w:left w:val="none" w:sz="0" w:space="0" w:color="auto"/>
        <w:bottom w:val="none" w:sz="0" w:space="0" w:color="auto"/>
        <w:right w:val="none" w:sz="0" w:space="0" w:color="auto"/>
      </w:divBdr>
    </w:div>
    <w:div w:id="1401171304">
      <w:bodyDiv w:val="1"/>
      <w:marLeft w:val="0"/>
      <w:marRight w:val="0"/>
      <w:marTop w:val="0"/>
      <w:marBottom w:val="0"/>
      <w:divBdr>
        <w:top w:val="none" w:sz="0" w:space="0" w:color="auto"/>
        <w:left w:val="none" w:sz="0" w:space="0" w:color="auto"/>
        <w:bottom w:val="none" w:sz="0" w:space="0" w:color="auto"/>
        <w:right w:val="none" w:sz="0" w:space="0" w:color="auto"/>
      </w:divBdr>
    </w:div>
    <w:div w:id="1565486122">
      <w:bodyDiv w:val="1"/>
      <w:marLeft w:val="0"/>
      <w:marRight w:val="0"/>
      <w:marTop w:val="0"/>
      <w:marBottom w:val="0"/>
      <w:divBdr>
        <w:top w:val="none" w:sz="0" w:space="0" w:color="auto"/>
        <w:left w:val="none" w:sz="0" w:space="0" w:color="auto"/>
        <w:bottom w:val="none" w:sz="0" w:space="0" w:color="auto"/>
        <w:right w:val="none" w:sz="0" w:space="0" w:color="auto"/>
      </w:divBdr>
    </w:div>
    <w:div w:id="1691223310">
      <w:bodyDiv w:val="1"/>
      <w:marLeft w:val="0"/>
      <w:marRight w:val="0"/>
      <w:marTop w:val="0"/>
      <w:marBottom w:val="0"/>
      <w:divBdr>
        <w:top w:val="none" w:sz="0" w:space="0" w:color="auto"/>
        <w:left w:val="none" w:sz="0" w:space="0" w:color="auto"/>
        <w:bottom w:val="none" w:sz="0" w:space="0" w:color="auto"/>
        <w:right w:val="none" w:sz="0" w:space="0" w:color="auto"/>
      </w:divBdr>
    </w:div>
    <w:div w:id="1739668873">
      <w:bodyDiv w:val="1"/>
      <w:marLeft w:val="0"/>
      <w:marRight w:val="0"/>
      <w:marTop w:val="0"/>
      <w:marBottom w:val="0"/>
      <w:divBdr>
        <w:top w:val="none" w:sz="0" w:space="0" w:color="auto"/>
        <w:left w:val="none" w:sz="0" w:space="0" w:color="auto"/>
        <w:bottom w:val="none" w:sz="0" w:space="0" w:color="auto"/>
        <w:right w:val="none" w:sz="0" w:space="0" w:color="auto"/>
      </w:divBdr>
    </w:div>
    <w:div w:id="1765804257">
      <w:bodyDiv w:val="1"/>
      <w:marLeft w:val="0"/>
      <w:marRight w:val="0"/>
      <w:marTop w:val="0"/>
      <w:marBottom w:val="0"/>
      <w:divBdr>
        <w:top w:val="none" w:sz="0" w:space="0" w:color="auto"/>
        <w:left w:val="none" w:sz="0" w:space="0" w:color="auto"/>
        <w:bottom w:val="none" w:sz="0" w:space="0" w:color="auto"/>
        <w:right w:val="none" w:sz="0" w:space="0" w:color="auto"/>
      </w:divBdr>
    </w:div>
    <w:div w:id="1898710624">
      <w:bodyDiv w:val="1"/>
      <w:marLeft w:val="0"/>
      <w:marRight w:val="0"/>
      <w:marTop w:val="0"/>
      <w:marBottom w:val="0"/>
      <w:divBdr>
        <w:top w:val="none" w:sz="0" w:space="0" w:color="auto"/>
        <w:left w:val="none" w:sz="0" w:space="0" w:color="auto"/>
        <w:bottom w:val="none" w:sz="0" w:space="0" w:color="auto"/>
        <w:right w:val="none" w:sz="0" w:space="0" w:color="auto"/>
      </w:divBdr>
    </w:div>
    <w:div w:id="1934973239">
      <w:bodyDiv w:val="1"/>
      <w:marLeft w:val="0"/>
      <w:marRight w:val="0"/>
      <w:marTop w:val="0"/>
      <w:marBottom w:val="0"/>
      <w:divBdr>
        <w:top w:val="none" w:sz="0" w:space="0" w:color="auto"/>
        <w:left w:val="none" w:sz="0" w:space="0" w:color="auto"/>
        <w:bottom w:val="none" w:sz="0" w:space="0" w:color="auto"/>
        <w:right w:val="none" w:sz="0" w:space="0" w:color="auto"/>
      </w:divBdr>
    </w:div>
    <w:div w:id="1971011248">
      <w:bodyDiv w:val="1"/>
      <w:marLeft w:val="0"/>
      <w:marRight w:val="0"/>
      <w:marTop w:val="0"/>
      <w:marBottom w:val="0"/>
      <w:divBdr>
        <w:top w:val="none" w:sz="0" w:space="0" w:color="auto"/>
        <w:left w:val="none" w:sz="0" w:space="0" w:color="auto"/>
        <w:bottom w:val="none" w:sz="0" w:space="0" w:color="auto"/>
        <w:right w:val="none" w:sz="0" w:space="0" w:color="auto"/>
      </w:divBdr>
    </w:div>
    <w:div w:id="20916110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ederalregister.gov/documents/2020/05/04/2020-09515/application-of-certain-provisions-in-the-tila-respa-integrated-disclosure-rule-and-regulation-z" TargetMode="External"/><Relationship Id="rId10" Type="http://schemas.openxmlformats.org/officeDocument/2006/relationships/hyperlink" Target="https://www.federalregister.gov/documents/2020/05/04/2020-09515/application-of-certain-provisions-in-the-tila-respa-integrated-disclosure-rule-and-regulatio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4BF1C-22B2-D840-ADCD-9E96BDBC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680</Words>
  <Characters>3881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4552</CharactersWithSpaces>
  <SharedDoc>false</SharedDoc>
  <HLinks>
    <vt:vector size="12" baseType="variant">
      <vt:variant>
        <vt:i4>7864392</vt:i4>
      </vt:variant>
      <vt:variant>
        <vt:i4>6</vt:i4>
      </vt:variant>
      <vt:variant>
        <vt:i4>0</vt:i4>
      </vt:variant>
      <vt:variant>
        <vt:i4>5</vt:i4>
      </vt:variant>
      <vt:variant>
        <vt:lpwstr>https://compliancealliance.com/find-a-tool/by-toolkit/regulation-cc</vt:lpwstr>
      </vt:variant>
      <vt:variant>
        <vt:lpwstr/>
      </vt:variant>
      <vt:variant>
        <vt:i4>5963817</vt:i4>
      </vt:variant>
      <vt:variant>
        <vt:i4>3</vt:i4>
      </vt:variant>
      <vt:variant>
        <vt:i4>0</vt:i4>
      </vt:variant>
      <vt:variant>
        <vt:i4>5</vt:i4>
      </vt:variant>
      <vt:variant>
        <vt:lpwstr>https://compliancealliance.com/find-a-tool/tool/regulation-cc-change-in-terms-notice-for-new-adjusted-amounts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Garcia Maggio</dc:creator>
  <cp:keywords/>
  <dc:description/>
  <cp:lastModifiedBy>Michael Perez</cp:lastModifiedBy>
  <cp:revision>39</cp:revision>
  <cp:lastPrinted>2016-02-17T15:14:00Z</cp:lastPrinted>
  <dcterms:created xsi:type="dcterms:W3CDTF">2020-04-26T22:27:00Z</dcterms:created>
  <dcterms:modified xsi:type="dcterms:W3CDTF">2020-05-01T21:22:00Z</dcterms:modified>
</cp:coreProperties>
</file>